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04" w:rsidRPr="00EF4830" w:rsidRDefault="00EF4830">
      <w:pPr>
        <w:rPr>
          <w:b/>
          <w:sz w:val="24"/>
          <w:u w:val="single"/>
        </w:rPr>
      </w:pPr>
      <w:bookmarkStart w:id="0" w:name="_GoBack"/>
      <w:bookmarkEnd w:id="0"/>
      <w:r w:rsidRPr="00EF4830">
        <w:rPr>
          <w:b/>
          <w:noProof/>
          <w:sz w:val="24"/>
          <w:u w:val="single"/>
          <w:lang w:eastAsia="en-GB"/>
        </w:rPr>
        <w:drawing>
          <wp:anchor distT="0" distB="0" distL="114300" distR="114300" simplePos="0" relativeHeight="251658240" behindDoc="1" locked="0" layoutInCell="1" allowOverlap="1" wp14:anchorId="36364082" wp14:editId="5A559C42">
            <wp:simplePos x="0" y="0"/>
            <wp:positionH relativeFrom="margin">
              <wp:posOffset>-114300</wp:posOffset>
            </wp:positionH>
            <wp:positionV relativeFrom="paragraph">
              <wp:posOffset>0</wp:posOffset>
            </wp:positionV>
            <wp:extent cx="1003300" cy="761365"/>
            <wp:effectExtent l="0" t="0" r="6350" b="635"/>
            <wp:wrapTight wrapText="bothSides">
              <wp:wrapPolygon edited="0">
                <wp:start x="0" y="0"/>
                <wp:lineTo x="0" y="21078"/>
                <wp:lineTo x="21327" y="21078"/>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6.jpg"/>
                    <pic:cNvPicPr/>
                  </pic:nvPicPr>
                  <pic:blipFill rotWithShape="1">
                    <a:blip r:embed="rId6" cstate="print">
                      <a:extLst>
                        <a:ext uri="{28A0092B-C50C-407E-A947-70E740481C1C}">
                          <a14:useLocalDpi xmlns:a14="http://schemas.microsoft.com/office/drawing/2010/main" val="0"/>
                        </a:ext>
                      </a:extLst>
                    </a:blip>
                    <a:srcRect l="2659" t="23733" r="11920" b="30446"/>
                    <a:stretch/>
                  </pic:blipFill>
                  <pic:spPr bwMode="auto">
                    <a:xfrm>
                      <a:off x="0" y="0"/>
                      <a:ext cx="1003300" cy="761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4830">
        <w:rPr>
          <w:b/>
          <w:sz w:val="24"/>
          <w:u w:val="single"/>
        </w:rPr>
        <w:t xml:space="preserve">DILTON MARSH CHURCH OF ENGLAND PRIMARY SCHOOL </w:t>
      </w:r>
    </w:p>
    <w:p w:rsidR="00EF4830" w:rsidRDefault="003319CA">
      <w:pPr>
        <w:rPr>
          <w:b/>
          <w:sz w:val="24"/>
          <w:u w:val="single"/>
        </w:rPr>
      </w:pPr>
      <w:r>
        <w:rPr>
          <w:b/>
          <w:sz w:val="24"/>
          <w:u w:val="single"/>
        </w:rPr>
        <w:t>Pupil Premium 2017-2018</w:t>
      </w:r>
    </w:p>
    <w:p w:rsidR="00EF4830" w:rsidRDefault="00EF4830">
      <w:pPr>
        <w:rPr>
          <w:b/>
          <w:sz w:val="24"/>
          <w:u w:val="single"/>
        </w:rPr>
      </w:pPr>
    </w:p>
    <w:p w:rsidR="00EF4830" w:rsidRPr="00550AC9" w:rsidRDefault="00EF4830">
      <w:pPr>
        <w:rPr>
          <w:b/>
          <w:sz w:val="24"/>
          <w:u w:val="single"/>
        </w:rPr>
      </w:pPr>
      <w:r w:rsidRPr="00550AC9">
        <w:rPr>
          <w:b/>
          <w:sz w:val="24"/>
          <w:u w:val="single"/>
        </w:rPr>
        <w:t>The Pupil Premium</w:t>
      </w:r>
    </w:p>
    <w:p w:rsidR="00EF4830" w:rsidRPr="00550AC9" w:rsidRDefault="00EF4830">
      <w:r w:rsidRPr="00550AC9">
        <w:t>The Government introduced the Pupil Premium Grant in April 2011.  The grant is an allocation of additional funding provided to schools to support specific groups of children who are vulnerable to possible underachievement.  These include pupils who are entitled to free school meals, those “looked after” by the</w:t>
      </w:r>
      <w:r w:rsidR="00792B60" w:rsidRPr="00550AC9">
        <w:t xml:space="preserve"> Local Authority and children of</w:t>
      </w:r>
      <w:r w:rsidRPr="00550AC9">
        <w:t xml:space="preserve"> Armed Service Personnel.  The intended effect of this funding is to accelerate progress and raise attainment</w:t>
      </w:r>
      <w:r w:rsidR="008B038B" w:rsidRPr="00550AC9">
        <w:t>, supporting pupils in reaching their potential</w:t>
      </w:r>
      <w:r w:rsidRPr="00550AC9">
        <w:t>.  The Government has given schools the discretion in how best to spend the Pupil Premium Grant, since they are best placed to assess what additional provision should be made for their pupils.</w:t>
      </w:r>
      <w:r w:rsidR="008B038B" w:rsidRPr="00550AC9">
        <w:t xml:space="preserve"> </w:t>
      </w:r>
    </w:p>
    <w:p w:rsidR="00EF4830" w:rsidRPr="00550AC9" w:rsidRDefault="00EF4830">
      <w:pPr>
        <w:rPr>
          <w:b/>
          <w:sz w:val="24"/>
          <w:u w:val="single"/>
        </w:rPr>
      </w:pPr>
      <w:r w:rsidRPr="00550AC9">
        <w:rPr>
          <w:b/>
          <w:sz w:val="24"/>
          <w:u w:val="single"/>
        </w:rPr>
        <w:t>Principles of Pupil Premium at Dilton Marsh CE Primary School</w:t>
      </w:r>
    </w:p>
    <w:p w:rsidR="00EF4830" w:rsidRPr="00550AC9" w:rsidRDefault="00EF4830">
      <w:r w:rsidRPr="00550AC9">
        <w:t>We ensure that teaching and learning opportunities meet the needs of all the pupils and that appropriate provision is made for pupils who belong to vulnerable groups.  This includes ensuring that the needs of socially disadvantaged pupils are adequately assessed and addressed.</w:t>
      </w:r>
    </w:p>
    <w:p w:rsidR="00EF4830" w:rsidRPr="00550AC9" w:rsidRDefault="00EF4830">
      <w:r w:rsidRPr="00550AC9">
        <w:t xml:space="preserve">In making provision for socially disadvantaged pupils, we recognise that not all pupils who receive free school meals will be socially disadvantaged.  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Spending of pupil premium funding will be allocated following a needs analysis which will identify priority classes, groups or individuals.  Limited funding and resources means that not all children receiving free school meals will be in receipt of pupil premium interventions at one time. </w:t>
      </w:r>
    </w:p>
    <w:p w:rsidR="008B038B" w:rsidRPr="00550AC9" w:rsidRDefault="008B038B">
      <w:pPr>
        <w:rPr>
          <w:sz w:val="24"/>
        </w:rPr>
      </w:pPr>
      <w:r w:rsidRPr="00550AC9">
        <w:t>In order to meet the requirements, Dilton Marsh CE Primary School will ensure that provision is made which secures the teaching and learning opportunities that meet the needs of all pupils. Our pr</w:t>
      </w:r>
      <w:r w:rsidR="003319CA">
        <w:t>iority in the academic year 2017-2018</w:t>
      </w:r>
      <w:r w:rsidRPr="00550AC9">
        <w:t xml:space="preserve"> will be focussed on “narrowing the gap” for those pupils not on track to achieve Age Related Expectations (ARE) at the end of Key Stage 2 and those falling short of their expected progress based on Key Stage 1 results.  </w:t>
      </w:r>
    </w:p>
    <w:p w:rsidR="00F701AD" w:rsidRPr="00550AC9" w:rsidRDefault="00F701AD">
      <w:pPr>
        <w:rPr>
          <w:b/>
          <w:sz w:val="24"/>
          <w:u w:val="single"/>
        </w:rPr>
      </w:pPr>
      <w:r w:rsidRPr="00550AC9">
        <w:rPr>
          <w:b/>
          <w:sz w:val="24"/>
          <w:u w:val="single"/>
        </w:rPr>
        <w:t xml:space="preserve">The Range of Provision </w:t>
      </w:r>
    </w:p>
    <w:p w:rsidR="00F701AD" w:rsidRPr="00550AC9" w:rsidRDefault="00F701AD" w:rsidP="00F701AD">
      <w:pPr>
        <w:pStyle w:val="ListParagraph"/>
        <w:numPr>
          <w:ilvl w:val="0"/>
          <w:numId w:val="4"/>
        </w:numPr>
      </w:pPr>
      <w:r w:rsidRPr="00550AC9">
        <w:t>Facilitating pupils access to education</w:t>
      </w:r>
    </w:p>
    <w:p w:rsidR="00F701AD" w:rsidRPr="00550AC9" w:rsidRDefault="00F701AD" w:rsidP="00F701AD">
      <w:pPr>
        <w:pStyle w:val="ListParagraph"/>
        <w:numPr>
          <w:ilvl w:val="0"/>
          <w:numId w:val="4"/>
        </w:numPr>
      </w:pPr>
      <w:r w:rsidRPr="00550AC9">
        <w:t>Facilitating pupils access to the curriculum</w:t>
      </w:r>
    </w:p>
    <w:p w:rsidR="00F701AD" w:rsidRPr="00550AC9" w:rsidRDefault="00F701AD" w:rsidP="00F701AD">
      <w:pPr>
        <w:pStyle w:val="ListParagraph"/>
        <w:numPr>
          <w:ilvl w:val="0"/>
          <w:numId w:val="4"/>
        </w:numPr>
      </w:pPr>
      <w:r w:rsidRPr="00550AC9">
        <w:t xml:space="preserve">Additional teaching and learning opportunities </w:t>
      </w:r>
    </w:p>
    <w:p w:rsidR="00F701AD" w:rsidRPr="00550AC9" w:rsidRDefault="00F701AD" w:rsidP="00F701AD">
      <w:pPr>
        <w:pStyle w:val="ListParagraph"/>
        <w:numPr>
          <w:ilvl w:val="0"/>
          <w:numId w:val="4"/>
        </w:numPr>
      </w:pPr>
      <w:r w:rsidRPr="00550AC9">
        <w:t>Alternative support and intervention, arranged through a pupil’s parents, where funds are available after securing the school’s own programme</w:t>
      </w:r>
    </w:p>
    <w:p w:rsidR="00365131" w:rsidRPr="00550AC9" w:rsidRDefault="00365131" w:rsidP="00365131">
      <w:pPr>
        <w:rPr>
          <w:b/>
          <w:sz w:val="24"/>
          <w:u w:val="single"/>
        </w:rPr>
      </w:pPr>
      <w:r w:rsidRPr="00550AC9">
        <w:rPr>
          <w:b/>
          <w:sz w:val="24"/>
          <w:u w:val="single"/>
        </w:rPr>
        <w:t xml:space="preserve">Identified barriers to educational achievement </w:t>
      </w:r>
    </w:p>
    <w:p w:rsidR="00365131" w:rsidRPr="00550AC9" w:rsidRDefault="00365131" w:rsidP="00365131">
      <w:r w:rsidRPr="00550AC9">
        <w:t>Dilton Marsh CE Primary School has identified the following as barriers for some of the pupils currently in receipt of the Pupil Premium Grant:</w:t>
      </w:r>
    </w:p>
    <w:p w:rsidR="00365131" w:rsidRPr="00550AC9" w:rsidRDefault="00365131" w:rsidP="00365131">
      <w:pPr>
        <w:pStyle w:val="ListParagraph"/>
        <w:numPr>
          <w:ilvl w:val="0"/>
          <w:numId w:val="5"/>
        </w:numPr>
      </w:pPr>
      <w:r w:rsidRPr="00550AC9">
        <w:t>Access to language – especially from books  - phonic skills</w:t>
      </w:r>
    </w:p>
    <w:p w:rsidR="00365131" w:rsidRPr="00550AC9" w:rsidRDefault="00365131" w:rsidP="00365131">
      <w:pPr>
        <w:pStyle w:val="ListParagraph"/>
        <w:numPr>
          <w:ilvl w:val="0"/>
          <w:numId w:val="5"/>
        </w:numPr>
      </w:pPr>
      <w:r w:rsidRPr="00550AC9">
        <w:t>Behaviour – pupils with specific social and emotional needs which affect their learning</w:t>
      </w:r>
    </w:p>
    <w:p w:rsidR="00365131" w:rsidRPr="00550AC9" w:rsidRDefault="00365131" w:rsidP="00365131">
      <w:pPr>
        <w:pStyle w:val="ListParagraph"/>
        <w:numPr>
          <w:ilvl w:val="0"/>
          <w:numId w:val="5"/>
        </w:numPr>
      </w:pPr>
      <w:r w:rsidRPr="00550AC9">
        <w:t>Access to extra-curricular activities – educational experiences such as trips, music lessons, participation in physical activities</w:t>
      </w:r>
    </w:p>
    <w:p w:rsidR="00365131" w:rsidRPr="00550AC9" w:rsidRDefault="00365131" w:rsidP="00365131">
      <w:pPr>
        <w:pStyle w:val="ListParagraph"/>
        <w:numPr>
          <w:ilvl w:val="0"/>
          <w:numId w:val="5"/>
        </w:numPr>
      </w:pPr>
      <w:r w:rsidRPr="00550AC9">
        <w:t>Attendance</w:t>
      </w:r>
    </w:p>
    <w:p w:rsidR="00365131" w:rsidRPr="00550AC9" w:rsidRDefault="00365131" w:rsidP="00365131">
      <w:pPr>
        <w:pStyle w:val="ListParagraph"/>
        <w:numPr>
          <w:ilvl w:val="0"/>
          <w:numId w:val="5"/>
        </w:numPr>
      </w:pPr>
      <w:r w:rsidRPr="00550AC9">
        <w:t>Parental engagement with school</w:t>
      </w:r>
    </w:p>
    <w:p w:rsidR="00365131" w:rsidRPr="00550AC9" w:rsidRDefault="00F025BD" w:rsidP="00365131">
      <w:pPr>
        <w:pStyle w:val="ListParagraph"/>
        <w:numPr>
          <w:ilvl w:val="0"/>
          <w:numId w:val="5"/>
        </w:numPr>
      </w:pPr>
      <w:r w:rsidRPr="00550AC9">
        <w:t>The n</w:t>
      </w:r>
      <w:r w:rsidR="00365131" w:rsidRPr="00550AC9">
        <w:t>umber of children in receipt of PPG also on the SEN register for learning and cognition</w:t>
      </w:r>
    </w:p>
    <w:p w:rsidR="00F025BD" w:rsidRPr="00550AC9" w:rsidRDefault="00F025BD" w:rsidP="00365131">
      <w:pPr>
        <w:pStyle w:val="ListParagraph"/>
        <w:numPr>
          <w:ilvl w:val="0"/>
          <w:numId w:val="5"/>
        </w:numPr>
      </w:pPr>
      <w:r w:rsidRPr="00550AC9">
        <w:t>Lack of confidence holding back children.  They are less likely to volunteer ideas in class.</w:t>
      </w:r>
    </w:p>
    <w:p w:rsidR="00550AC9" w:rsidRDefault="00550AC9">
      <w:pPr>
        <w:rPr>
          <w:b/>
          <w:sz w:val="28"/>
          <w:u w:val="single"/>
        </w:rPr>
      </w:pPr>
    </w:p>
    <w:p w:rsidR="00F025BD" w:rsidRPr="00E9587E" w:rsidRDefault="00F025BD" w:rsidP="00F025BD">
      <w:pPr>
        <w:rPr>
          <w:b/>
          <w:sz w:val="24"/>
          <w:u w:val="single"/>
        </w:rPr>
      </w:pPr>
      <w:r w:rsidRPr="00E9587E">
        <w:rPr>
          <w:b/>
          <w:sz w:val="24"/>
          <w:u w:val="single"/>
        </w:rPr>
        <w:lastRenderedPageBreak/>
        <w:t>Summary of schools performance data:</w:t>
      </w:r>
    </w:p>
    <w:p w:rsidR="00F025BD" w:rsidRPr="00E9587E" w:rsidRDefault="00F025BD" w:rsidP="00F025BD">
      <w:pPr>
        <w:rPr>
          <w:b/>
          <w:u w:val="single"/>
        </w:rPr>
      </w:pPr>
      <w:r w:rsidRPr="00E9587E">
        <w:rPr>
          <w:b/>
          <w:u w:val="single"/>
        </w:rPr>
        <w:t>KS2</w:t>
      </w:r>
    </w:p>
    <w:tbl>
      <w:tblPr>
        <w:tblStyle w:val="TableGrid"/>
        <w:tblW w:w="0" w:type="auto"/>
        <w:tblLook w:val="04A0" w:firstRow="1" w:lastRow="0" w:firstColumn="1" w:lastColumn="0" w:noHBand="0" w:noVBand="1"/>
      </w:tblPr>
      <w:tblGrid>
        <w:gridCol w:w="4106"/>
        <w:gridCol w:w="2126"/>
        <w:gridCol w:w="2694"/>
      </w:tblGrid>
      <w:tr w:rsidR="00F025BD" w:rsidRPr="003319CA" w:rsidTr="0024365A">
        <w:tc>
          <w:tcPr>
            <w:tcW w:w="4106" w:type="dxa"/>
          </w:tcPr>
          <w:p w:rsidR="00F025BD" w:rsidRPr="003319CA" w:rsidRDefault="00F025BD" w:rsidP="0024365A">
            <w:pPr>
              <w:rPr>
                <w:highlight w:val="yellow"/>
              </w:rPr>
            </w:pPr>
            <w:r w:rsidRPr="00257503">
              <w:t>Based on July 201</w:t>
            </w:r>
            <w:r w:rsidR="00257503" w:rsidRPr="00257503">
              <w:t>7</w:t>
            </w:r>
            <w:r w:rsidRPr="00257503">
              <w:t xml:space="preserve"> SATS results</w:t>
            </w:r>
          </w:p>
        </w:tc>
        <w:tc>
          <w:tcPr>
            <w:tcW w:w="2126" w:type="dxa"/>
          </w:tcPr>
          <w:p w:rsidR="00F025BD" w:rsidRPr="00257503" w:rsidRDefault="00F025BD" w:rsidP="0024365A">
            <w:r w:rsidRPr="00257503">
              <w:t>Pupils eligible for PPG</w:t>
            </w:r>
          </w:p>
          <w:p w:rsidR="00F025BD" w:rsidRPr="003319CA" w:rsidRDefault="00F025BD" w:rsidP="0024365A">
            <w:pPr>
              <w:rPr>
                <w:highlight w:val="yellow"/>
              </w:rPr>
            </w:pPr>
            <w:r w:rsidRPr="00257503">
              <w:t>ARE %</w:t>
            </w:r>
          </w:p>
        </w:tc>
        <w:tc>
          <w:tcPr>
            <w:tcW w:w="2694" w:type="dxa"/>
          </w:tcPr>
          <w:p w:rsidR="00F025BD" w:rsidRPr="00150E01" w:rsidRDefault="00F025BD" w:rsidP="0024365A">
            <w:r w:rsidRPr="00150E01">
              <w:t>Pupils not eligible for PPG</w:t>
            </w:r>
          </w:p>
          <w:p w:rsidR="00F025BD" w:rsidRPr="00150E01" w:rsidRDefault="00F025BD" w:rsidP="0024365A"/>
        </w:tc>
      </w:tr>
      <w:tr w:rsidR="00F025BD" w:rsidRPr="003319CA" w:rsidTr="0024365A">
        <w:tc>
          <w:tcPr>
            <w:tcW w:w="4106" w:type="dxa"/>
          </w:tcPr>
          <w:p w:rsidR="00F025BD" w:rsidRPr="00257503" w:rsidRDefault="00F025BD" w:rsidP="0041500C">
            <w:pPr>
              <w:jc w:val="center"/>
            </w:pPr>
            <w:r w:rsidRPr="00257503">
              <w:t>% achieving expected standard in Reading, Writing, and Maths (end KS2)</w:t>
            </w:r>
          </w:p>
        </w:tc>
        <w:tc>
          <w:tcPr>
            <w:tcW w:w="2126" w:type="dxa"/>
          </w:tcPr>
          <w:p w:rsidR="00F025BD" w:rsidRPr="003319CA" w:rsidRDefault="00257503" w:rsidP="0041500C">
            <w:pPr>
              <w:jc w:val="center"/>
              <w:rPr>
                <w:highlight w:val="yellow"/>
              </w:rPr>
            </w:pPr>
            <w:r w:rsidRPr="00150E01">
              <w:t>25</w:t>
            </w:r>
            <w:r w:rsidR="00150E01" w:rsidRPr="00150E01">
              <w:t>% (2 out of 8)</w:t>
            </w:r>
          </w:p>
        </w:tc>
        <w:tc>
          <w:tcPr>
            <w:tcW w:w="2694" w:type="dxa"/>
          </w:tcPr>
          <w:p w:rsidR="00F025BD" w:rsidRPr="00150E01" w:rsidRDefault="00150E01" w:rsidP="0041500C">
            <w:pPr>
              <w:jc w:val="center"/>
            </w:pPr>
            <w:r w:rsidRPr="00150E01">
              <w:t>50%</w:t>
            </w:r>
          </w:p>
        </w:tc>
      </w:tr>
      <w:tr w:rsidR="00F025BD" w:rsidRPr="003319CA" w:rsidTr="0024365A">
        <w:tc>
          <w:tcPr>
            <w:tcW w:w="4106" w:type="dxa"/>
          </w:tcPr>
          <w:p w:rsidR="00F025BD" w:rsidRPr="00257503" w:rsidRDefault="00F025BD" w:rsidP="0041500C">
            <w:pPr>
              <w:jc w:val="center"/>
            </w:pPr>
            <w:r w:rsidRPr="00257503">
              <w:t>% achieving expected standard in reading</w:t>
            </w:r>
          </w:p>
        </w:tc>
        <w:tc>
          <w:tcPr>
            <w:tcW w:w="2126" w:type="dxa"/>
          </w:tcPr>
          <w:p w:rsidR="00F025BD" w:rsidRPr="00257503" w:rsidRDefault="00257503" w:rsidP="0041500C">
            <w:pPr>
              <w:jc w:val="center"/>
            </w:pPr>
            <w:r w:rsidRPr="00257503">
              <w:t>50</w:t>
            </w:r>
            <w:r w:rsidR="00F025BD" w:rsidRPr="00257503">
              <w:t>% (</w:t>
            </w:r>
            <w:r w:rsidR="0075482B" w:rsidRPr="00257503">
              <w:t>4</w:t>
            </w:r>
            <w:r w:rsidR="00F025BD" w:rsidRPr="00257503">
              <w:t xml:space="preserve"> out of </w:t>
            </w:r>
            <w:r w:rsidR="0075482B" w:rsidRPr="00257503">
              <w:t>8</w:t>
            </w:r>
            <w:r w:rsidR="00F025BD" w:rsidRPr="00257503">
              <w:t>)</w:t>
            </w:r>
          </w:p>
        </w:tc>
        <w:tc>
          <w:tcPr>
            <w:tcW w:w="2694" w:type="dxa"/>
          </w:tcPr>
          <w:p w:rsidR="00F025BD" w:rsidRPr="003319CA" w:rsidRDefault="00150E01" w:rsidP="0041500C">
            <w:pPr>
              <w:jc w:val="center"/>
              <w:rPr>
                <w:highlight w:val="yellow"/>
              </w:rPr>
            </w:pPr>
            <w:r w:rsidRPr="00150E01">
              <w:t>75%</w:t>
            </w:r>
          </w:p>
        </w:tc>
      </w:tr>
      <w:tr w:rsidR="00F025BD" w:rsidRPr="003319CA" w:rsidTr="0024365A">
        <w:tc>
          <w:tcPr>
            <w:tcW w:w="4106" w:type="dxa"/>
          </w:tcPr>
          <w:p w:rsidR="00F025BD" w:rsidRPr="00257503" w:rsidRDefault="00F025BD" w:rsidP="0041500C">
            <w:pPr>
              <w:jc w:val="center"/>
            </w:pPr>
            <w:r w:rsidRPr="00257503">
              <w:t>% achieving expected standard in writing</w:t>
            </w:r>
          </w:p>
        </w:tc>
        <w:tc>
          <w:tcPr>
            <w:tcW w:w="2126" w:type="dxa"/>
          </w:tcPr>
          <w:p w:rsidR="00F025BD" w:rsidRPr="00257503" w:rsidRDefault="00257503" w:rsidP="0041500C">
            <w:pPr>
              <w:jc w:val="center"/>
            </w:pPr>
            <w:r w:rsidRPr="00257503">
              <w:t>100</w:t>
            </w:r>
            <w:r w:rsidR="00F025BD" w:rsidRPr="00257503">
              <w:t>% (</w:t>
            </w:r>
            <w:r w:rsidRPr="00257503">
              <w:t>8</w:t>
            </w:r>
            <w:r w:rsidR="00F025BD" w:rsidRPr="00257503">
              <w:t xml:space="preserve"> out of </w:t>
            </w:r>
            <w:r w:rsidRPr="00257503">
              <w:t>8</w:t>
            </w:r>
            <w:r w:rsidR="00F025BD" w:rsidRPr="00257503">
              <w:t>)</w:t>
            </w:r>
          </w:p>
        </w:tc>
        <w:tc>
          <w:tcPr>
            <w:tcW w:w="2694" w:type="dxa"/>
          </w:tcPr>
          <w:p w:rsidR="00F025BD" w:rsidRPr="003319CA" w:rsidRDefault="00150E01" w:rsidP="0041500C">
            <w:pPr>
              <w:jc w:val="center"/>
              <w:rPr>
                <w:highlight w:val="yellow"/>
              </w:rPr>
            </w:pPr>
            <w:r w:rsidRPr="00150E01">
              <w:t>85%</w:t>
            </w:r>
          </w:p>
        </w:tc>
      </w:tr>
      <w:tr w:rsidR="00F025BD" w:rsidRPr="003319CA" w:rsidTr="0024365A">
        <w:tc>
          <w:tcPr>
            <w:tcW w:w="4106" w:type="dxa"/>
          </w:tcPr>
          <w:p w:rsidR="00F025BD" w:rsidRPr="00257503" w:rsidRDefault="00F025BD" w:rsidP="0041500C">
            <w:pPr>
              <w:jc w:val="center"/>
            </w:pPr>
            <w:r w:rsidRPr="00257503">
              <w:t>% achieving expected standard in maths</w:t>
            </w:r>
          </w:p>
        </w:tc>
        <w:tc>
          <w:tcPr>
            <w:tcW w:w="2126" w:type="dxa"/>
          </w:tcPr>
          <w:p w:rsidR="00F025BD" w:rsidRPr="00257503" w:rsidRDefault="00257503" w:rsidP="0041500C">
            <w:pPr>
              <w:jc w:val="center"/>
            </w:pPr>
            <w:r w:rsidRPr="00257503">
              <w:t>25</w:t>
            </w:r>
            <w:r w:rsidR="00F025BD" w:rsidRPr="00257503">
              <w:t>% (</w:t>
            </w:r>
            <w:r w:rsidRPr="00257503">
              <w:t>2</w:t>
            </w:r>
            <w:r w:rsidR="00F025BD" w:rsidRPr="00257503">
              <w:t xml:space="preserve"> out of </w:t>
            </w:r>
            <w:r w:rsidRPr="00257503">
              <w:t>8</w:t>
            </w:r>
            <w:r w:rsidR="00F025BD" w:rsidRPr="00257503">
              <w:t>)</w:t>
            </w:r>
          </w:p>
        </w:tc>
        <w:tc>
          <w:tcPr>
            <w:tcW w:w="2694" w:type="dxa"/>
          </w:tcPr>
          <w:p w:rsidR="00F025BD" w:rsidRPr="003319CA" w:rsidRDefault="00150E01" w:rsidP="0041500C">
            <w:pPr>
              <w:jc w:val="center"/>
              <w:rPr>
                <w:highlight w:val="yellow"/>
              </w:rPr>
            </w:pPr>
            <w:r w:rsidRPr="00150E01">
              <w:t>55%</w:t>
            </w:r>
          </w:p>
        </w:tc>
      </w:tr>
      <w:tr w:rsidR="00F025BD" w:rsidRPr="003319CA" w:rsidTr="0024365A">
        <w:tc>
          <w:tcPr>
            <w:tcW w:w="4106" w:type="dxa"/>
          </w:tcPr>
          <w:p w:rsidR="00F025BD" w:rsidRPr="00E9587E" w:rsidRDefault="00F025BD" w:rsidP="0041500C">
            <w:pPr>
              <w:jc w:val="center"/>
            </w:pPr>
            <w:r w:rsidRPr="00E9587E">
              <w:t>% achieving expected standard in science</w:t>
            </w:r>
          </w:p>
        </w:tc>
        <w:tc>
          <w:tcPr>
            <w:tcW w:w="2126" w:type="dxa"/>
          </w:tcPr>
          <w:p w:rsidR="00F025BD" w:rsidRPr="00E9587E" w:rsidRDefault="00E9587E" w:rsidP="0041500C">
            <w:pPr>
              <w:jc w:val="center"/>
            </w:pPr>
            <w:r w:rsidRPr="00E9587E">
              <w:t>100% (8 out of 8)</w:t>
            </w:r>
          </w:p>
        </w:tc>
        <w:tc>
          <w:tcPr>
            <w:tcW w:w="2694" w:type="dxa"/>
          </w:tcPr>
          <w:p w:rsidR="00F025BD" w:rsidRPr="00E9587E" w:rsidRDefault="00E9587E" w:rsidP="0041500C">
            <w:pPr>
              <w:jc w:val="center"/>
            </w:pPr>
            <w:r w:rsidRPr="00E9587E">
              <w:t>80%</w:t>
            </w:r>
          </w:p>
        </w:tc>
      </w:tr>
    </w:tbl>
    <w:p w:rsidR="00F025BD" w:rsidRPr="003319CA" w:rsidRDefault="00F025BD" w:rsidP="00F025BD">
      <w:pPr>
        <w:rPr>
          <w:highlight w:val="yellow"/>
        </w:rPr>
      </w:pPr>
    </w:p>
    <w:p w:rsidR="00F025BD" w:rsidRPr="00E9587E" w:rsidRDefault="00F025BD" w:rsidP="00F025BD">
      <w:pPr>
        <w:rPr>
          <w:b/>
          <w:sz w:val="24"/>
          <w:u w:val="single"/>
        </w:rPr>
      </w:pPr>
      <w:r w:rsidRPr="00E9587E">
        <w:rPr>
          <w:b/>
          <w:sz w:val="24"/>
          <w:u w:val="single"/>
        </w:rPr>
        <w:t>KS1</w:t>
      </w:r>
    </w:p>
    <w:tbl>
      <w:tblPr>
        <w:tblStyle w:val="TableGrid"/>
        <w:tblW w:w="0" w:type="auto"/>
        <w:tblLook w:val="04A0" w:firstRow="1" w:lastRow="0" w:firstColumn="1" w:lastColumn="0" w:noHBand="0" w:noVBand="1"/>
      </w:tblPr>
      <w:tblGrid>
        <w:gridCol w:w="4106"/>
        <w:gridCol w:w="2126"/>
        <w:gridCol w:w="2694"/>
      </w:tblGrid>
      <w:tr w:rsidR="00F025BD" w:rsidRPr="003319CA" w:rsidTr="0024365A">
        <w:tc>
          <w:tcPr>
            <w:tcW w:w="4106" w:type="dxa"/>
          </w:tcPr>
          <w:p w:rsidR="00F025BD" w:rsidRPr="003319CA" w:rsidRDefault="00F025BD" w:rsidP="0024365A">
            <w:pPr>
              <w:rPr>
                <w:highlight w:val="yellow"/>
              </w:rPr>
            </w:pPr>
            <w:r w:rsidRPr="001E4F0D">
              <w:t>Based on July 201</w:t>
            </w:r>
            <w:r w:rsidR="00150E01" w:rsidRPr="001E4F0D">
              <w:t>7</w:t>
            </w:r>
            <w:r w:rsidRPr="001E4F0D">
              <w:t xml:space="preserve"> TA</w:t>
            </w:r>
          </w:p>
        </w:tc>
        <w:tc>
          <w:tcPr>
            <w:tcW w:w="2126" w:type="dxa"/>
          </w:tcPr>
          <w:p w:rsidR="00F025BD" w:rsidRPr="001E4F0D" w:rsidRDefault="00F025BD" w:rsidP="0024365A">
            <w:r w:rsidRPr="001E4F0D">
              <w:t>Pupils eligible for PPG</w:t>
            </w:r>
          </w:p>
          <w:p w:rsidR="00F025BD" w:rsidRPr="001E4F0D" w:rsidRDefault="00F025BD" w:rsidP="0024365A">
            <w:r w:rsidRPr="001E4F0D">
              <w:t>ARE %</w:t>
            </w:r>
          </w:p>
        </w:tc>
        <w:tc>
          <w:tcPr>
            <w:tcW w:w="2694" w:type="dxa"/>
          </w:tcPr>
          <w:p w:rsidR="00F025BD" w:rsidRPr="008A38ED" w:rsidRDefault="00F025BD" w:rsidP="0024365A">
            <w:r w:rsidRPr="008A38ED">
              <w:t>Pupils not eligible for PPG</w:t>
            </w:r>
          </w:p>
          <w:p w:rsidR="00F025BD" w:rsidRPr="008A38ED" w:rsidRDefault="00F025BD" w:rsidP="0024365A"/>
        </w:tc>
      </w:tr>
      <w:tr w:rsidR="00F025BD" w:rsidRPr="003319CA" w:rsidTr="0024365A">
        <w:tc>
          <w:tcPr>
            <w:tcW w:w="4106" w:type="dxa"/>
          </w:tcPr>
          <w:p w:rsidR="00F025BD" w:rsidRPr="00150E01" w:rsidRDefault="00F025BD" w:rsidP="0041500C">
            <w:pPr>
              <w:jc w:val="center"/>
            </w:pPr>
            <w:r w:rsidRPr="00150E01">
              <w:t>% achieving expected standard in reading</w:t>
            </w:r>
          </w:p>
        </w:tc>
        <w:tc>
          <w:tcPr>
            <w:tcW w:w="2126" w:type="dxa"/>
          </w:tcPr>
          <w:p w:rsidR="00F025BD" w:rsidRPr="001E4F0D" w:rsidRDefault="00F025BD" w:rsidP="0041500C">
            <w:pPr>
              <w:jc w:val="center"/>
            </w:pPr>
            <w:r w:rsidRPr="001E4F0D">
              <w:t xml:space="preserve">67% ( </w:t>
            </w:r>
            <w:r w:rsidR="001E4F0D" w:rsidRPr="001E4F0D">
              <w:t>2</w:t>
            </w:r>
            <w:r w:rsidRPr="001E4F0D">
              <w:t xml:space="preserve"> out of </w:t>
            </w:r>
            <w:r w:rsidR="001E4F0D" w:rsidRPr="001E4F0D">
              <w:t>3</w:t>
            </w:r>
            <w:r w:rsidRPr="001E4F0D">
              <w:t>)</w:t>
            </w:r>
          </w:p>
        </w:tc>
        <w:tc>
          <w:tcPr>
            <w:tcW w:w="2694" w:type="dxa"/>
          </w:tcPr>
          <w:p w:rsidR="00F025BD" w:rsidRPr="008A38ED" w:rsidRDefault="008A38ED" w:rsidP="0041500C">
            <w:pPr>
              <w:jc w:val="center"/>
            </w:pPr>
            <w:r w:rsidRPr="008A38ED">
              <w:t>96%</w:t>
            </w:r>
          </w:p>
        </w:tc>
      </w:tr>
      <w:tr w:rsidR="00F025BD" w:rsidRPr="003319CA" w:rsidTr="0024365A">
        <w:tc>
          <w:tcPr>
            <w:tcW w:w="4106" w:type="dxa"/>
          </w:tcPr>
          <w:p w:rsidR="00F025BD" w:rsidRPr="00150E01" w:rsidRDefault="00F025BD" w:rsidP="0041500C">
            <w:pPr>
              <w:jc w:val="center"/>
            </w:pPr>
            <w:r w:rsidRPr="00150E01">
              <w:t>% achieving expected standard in writing</w:t>
            </w:r>
          </w:p>
        </w:tc>
        <w:tc>
          <w:tcPr>
            <w:tcW w:w="2126" w:type="dxa"/>
          </w:tcPr>
          <w:p w:rsidR="00F025BD" w:rsidRPr="001E4F0D" w:rsidRDefault="001E4F0D" w:rsidP="0041500C">
            <w:pPr>
              <w:jc w:val="center"/>
            </w:pPr>
            <w:r w:rsidRPr="001E4F0D">
              <w:t>33</w:t>
            </w:r>
            <w:r w:rsidR="00F025BD" w:rsidRPr="001E4F0D">
              <w:t>% (</w:t>
            </w:r>
            <w:r w:rsidRPr="001E4F0D">
              <w:t>1</w:t>
            </w:r>
            <w:r w:rsidR="00F025BD" w:rsidRPr="001E4F0D">
              <w:t xml:space="preserve"> out of </w:t>
            </w:r>
            <w:r w:rsidRPr="001E4F0D">
              <w:t>3</w:t>
            </w:r>
            <w:r w:rsidR="00F025BD" w:rsidRPr="001E4F0D">
              <w:t>)</w:t>
            </w:r>
          </w:p>
        </w:tc>
        <w:tc>
          <w:tcPr>
            <w:tcW w:w="2694" w:type="dxa"/>
          </w:tcPr>
          <w:p w:rsidR="00F025BD" w:rsidRPr="008A38ED" w:rsidRDefault="008A38ED" w:rsidP="0041500C">
            <w:pPr>
              <w:jc w:val="center"/>
            </w:pPr>
            <w:r w:rsidRPr="008A38ED">
              <w:t>85</w:t>
            </w:r>
            <w:r w:rsidR="00F025BD" w:rsidRPr="008A38ED">
              <w:t>%</w:t>
            </w:r>
          </w:p>
        </w:tc>
      </w:tr>
      <w:tr w:rsidR="00F025BD" w:rsidRPr="003319CA" w:rsidTr="0024365A">
        <w:tc>
          <w:tcPr>
            <w:tcW w:w="4106" w:type="dxa"/>
          </w:tcPr>
          <w:p w:rsidR="00F025BD" w:rsidRPr="00150E01" w:rsidRDefault="00F025BD" w:rsidP="0041500C">
            <w:pPr>
              <w:jc w:val="center"/>
            </w:pPr>
            <w:r w:rsidRPr="00150E01">
              <w:t>% achieving expected standard in maths</w:t>
            </w:r>
          </w:p>
        </w:tc>
        <w:tc>
          <w:tcPr>
            <w:tcW w:w="2126" w:type="dxa"/>
          </w:tcPr>
          <w:p w:rsidR="00F025BD" w:rsidRPr="001E4F0D" w:rsidRDefault="001E4F0D" w:rsidP="0041500C">
            <w:pPr>
              <w:jc w:val="center"/>
            </w:pPr>
            <w:r w:rsidRPr="001E4F0D">
              <w:t>33</w:t>
            </w:r>
            <w:r w:rsidR="00F025BD" w:rsidRPr="001E4F0D">
              <w:t>% (</w:t>
            </w:r>
            <w:r w:rsidRPr="001E4F0D">
              <w:t>1</w:t>
            </w:r>
            <w:r w:rsidR="00F025BD" w:rsidRPr="001E4F0D">
              <w:t xml:space="preserve"> out of </w:t>
            </w:r>
            <w:r w:rsidRPr="001E4F0D">
              <w:t>3</w:t>
            </w:r>
            <w:r w:rsidR="00F025BD" w:rsidRPr="001E4F0D">
              <w:t>)</w:t>
            </w:r>
          </w:p>
        </w:tc>
        <w:tc>
          <w:tcPr>
            <w:tcW w:w="2694" w:type="dxa"/>
          </w:tcPr>
          <w:p w:rsidR="00F025BD" w:rsidRPr="008A38ED" w:rsidRDefault="008A38ED" w:rsidP="0041500C">
            <w:pPr>
              <w:jc w:val="center"/>
            </w:pPr>
            <w:r w:rsidRPr="008A38ED">
              <w:t>92</w:t>
            </w:r>
            <w:r w:rsidR="00F025BD" w:rsidRPr="008A38ED">
              <w:t>%</w:t>
            </w:r>
          </w:p>
        </w:tc>
      </w:tr>
      <w:tr w:rsidR="00F025BD" w:rsidRPr="003319CA" w:rsidTr="0024365A">
        <w:tc>
          <w:tcPr>
            <w:tcW w:w="4106" w:type="dxa"/>
          </w:tcPr>
          <w:p w:rsidR="00F025BD" w:rsidRPr="0041500C" w:rsidRDefault="00F025BD" w:rsidP="0041500C">
            <w:pPr>
              <w:jc w:val="center"/>
            </w:pPr>
            <w:r w:rsidRPr="0041500C">
              <w:t>% achieving expected standard in science</w:t>
            </w:r>
          </w:p>
        </w:tc>
        <w:tc>
          <w:tcPr>
            <w:tcW w:w="2126" w:type="dxa"/>
          </w:tcPr>
          <w:p w:rsidR="00F025BD" w:rsidRPr="0041500C" w:rsidRDefault="0041500C" w:rsidP="0041500C">
            <w:pPr>
              <w:jc w:val="center"/>
            </w:pPr>
            <w:r w:rsidRPr="0041500C">
              <w:t>33% (1 out of 3)</w:t>
            </w:r>
          </w:p>
        </w:tc>
        <w:tc>
          <w:tcPr>
            <w:tcW w:w="2694" w:type="dxa"/>
          </w:tcPr>
          <w:p w:rsidR="00F025BD" w:rsidRPr="0041500C" w:rsidRDefault="0041500C" w:rsidP="0041500C">
            <w:pPr>
              <w:jc w:val="center"/>
            </w:pPr>
            <w:r>
              <w:t>100%</w:t>
            </w:r>
          </w:p>
        </w:tc>
      </w:tr>
    </w:tbl>
    <w:p w:rsidR="00F025BD" w:rsidRPr="003319CA" w:rsidRDefault="00F025BD" w:rsidP="00F025BD">
      <w:pPr>
        <w:rPr>
          <w:highlight w:val="yellow"/>
        </w:rPr>
      </w:pPr>
    </w:p>
    <w:p w:rsidR="00F025BD" w:rsidRPr="0041500C" w:rsidRDefault="00F025BD" w:rsidP="00F025BD">
      <w:pPr>
        <w:rPr>
          <w:b/>
          <w:u w:val="single"/>
        </w:rPr>
      </w:pPr>
      <w:r w:rsidRPr="0041500C">
        <w:rPr>
          <w:b/>
          <w:u w:val="single"/>
        </w:rPr>
        <w:t>Year 1 Phonics</w:t>
      </w:r>
    </w:p>
    <w:tbl>
      <w:tblPr>
        <w:tblStyle w:val="TableGrid"/>
        <w:tblW w:w="0" w:type="auto"/>
        <w:tblLook w:val="04A0" w:firstRow="1" w:lastRow="0" w:firstColumn="1" w:lastColumn="0" w:noHBand="0" w:noVBand="1"/>
      </w:tblPr>
      <w:tblGrid>
        <w:gridCol w:w="4106"/>
        <w:gridCol w:w="2268"/>
        <w:gridCol w:w="2642"/>
      </w:tblGrid>
      <w:tr w:rsidR="00F025BD" w:rsidRPr="0041500C" w:rsidTr="0024365A">
        <w:tc>
          <w:tcPr>
            <w:tcW w:w="4106" w:type="dxa"/>
          </w:tcPr>
          <w:p w:rsidR="00F025BD" w:rsidRPr="0041500C" w:rsidRDefault="00F025BD" w:rsidP="0024365A">
            <w:r w:rsidRPr="0041500C">
              <w:t>Based on July 2016 Test results</w:t>
            </w:r>
          </w:p>
        </w:tc>
        <w:tc>
          <w:tcPr>
            <w:tcW w:w="2268" w:type="dxa"/>
          </w:tcPr>
          <w:p w:rsidR="00F025BD" w:rsidRPr="0041500C" w:rsidRDefault="00F025BD" w:rsidP="0024365A">
            <w:r w:rsidRPr="0041500C">
              <w:t>Pupils eligible for PPG</w:t>
            </w:r>
          </w:p>
          <w:p w:rsidR="00F025BD" w:rsidRPr="0041500C" w:rsidRDefault="00F025BD" w:rsidP="0024365A"/>
        </w:tc>
        <w:tc>
          <w:tcPr>
            <w:tcW w:w="2642" w:type="dxa"/>
          </w:tcPr>
          <w:p w:rsidR="00F025BD" w:rsidRPr="0041500C" w:rsidRDefault="00F025BD" w:rsidP="0024365A">
            <w:r w:rsidRPr="0041500C">
              <w:t>Pupils not eligible for PPG</w:t>
            </w:r>
          </w:p>
          <w:p w:rsidR="00F025BD" w:rsidRPr="0041500C" w:rsidRDefault="00F025BD" w:rsidP="0024365A"/>
        </w:tc>
      </w:tr>
      <w:tr w:rsidR="00F025BD" w:rsidRPr="003319CA" w:rsidTr="0024365A">
        <w:tc>
          <w:tcPr>
            <w:tcW w:w="4106" w:type="dxa"/>
          </w:tcPr>
          <w:p w:rsidR="00F025BD" w:rsidRPr="0041500C" w:rsidRDefault="00F025BD" w:rsidP="00CC33AE">
            <w:pPr>
              <w:jc w:val="center"/>
            </w:pPr>
            <w:r w:rsidRPr="0041500C">
              <w:t>% achieving expected standard in Phonics</w:t>
            </w:r>
          </w:p>
        </w:tc>
        <w:tc>
          <w:tcPr>
            <w:tcW w:w="2268" w:type="dxa"/>
          </w:tcPr>
          <w:p w:rsidR="00F025BD" w:rsidRPr="0041500C" w:rsidRDefault="0041500C" w:rsidP="00CC33AE">
            <w:pPr>
              <w:jc w:val="center"/>
            </w:pPr>
            <w:r w:rsidRPr="0041500C">
              <w:t>100</w:t>
            </w:r>
            <w:r w:rsidR="00F025BD" w:rsidRPr="0041500C">
              <w:t>% (</w:t>
            </w:r>
            <w:r w:rsidRPr="0041500C">
              <w:t>1</w:t>
            </w:r>
            <w:r w:rsidR="00F025BD" w:rsidRPr="0041500C">
              <w:t xml:space="preserve"> out of </w:t>
            </w:r>
            <w:r w:rsidRPr="0041500C">
              <w:t>1</w:t>
            </w:r>
            <w:r w:rsidR="00F025BD" w:rsidRPr="0041500C">
              <w:t>)</w:t>
            </w:r>
          </w:p>
        </w:tc>
        <w:tc>
          <w:tcPr>
            <w:tcW w:w="2642" w:type="dxa"/>
          </w:tcPr>
          <w:p w:rsidR="00F025BD" w:rsidRPr="0041500C" w:rsidRDefault="0041500C" w:rsidP="00CC33AE">
            <w:pPr>
              <w:jc w:val="center"/>
            </w:pPr>
            <w:r w:rsidRPr="0041500C">
              <w:t>89</w:t>
            </w:r>
            <w:r w:rsidR="00F025BD" w:rsidRPr="0041500C">
              <w:t>%</w:t>
            </w:r>
          </w:p>
        </w:tc>
      </w:tr>
    </w:tbl>
    <w:p w:rsidR="00F025BD" w:rsidRPr="003319CA" w:rsidRDefault="00F025BD" w:rsidP="00F025BD">
      <w:pPr>
        <w:rPr>
          <w:highlight w:val="yellow"/>
        </w:rPr>
      </w:pPr>
    </w:p>
    <w:p w:rsidR="00F025BD" w:rsidRPr="009B5507" w:rsidRDefault="00F025BD" w:rsidP="00F025BD">
      <w:pPr>
        <w:rPr>
          <w:b/>
          <w:u w:val="single"/>
        </w:rPr>
      </w:pPr>
      <w:r w:rsidRPr="009B5507">
        <w:rPr>
          <w:b/>
          <w:u w:val="single"/>
        </w:rPr>
        <w:t>Year 2 Phonic cumulative</w:t>
      </w:r>
    </w:p>
    <w:tbl>
      <w:tblPr>
        <w:tblStyle w:val="TableGrid"/>
        <w:tblW w:w="0" w:type="auto"/>
        <w:tblLook w:val="04A0" w:firstRow="1" w:lastRow="0" w:firstColumn="1" w:lastColumn="0" w:noHBand="0" w:noVBand="1"/>
      </w:tblPr>
      <w:tblGrid>
        <w:gridCol w:w="4106"/>
        <w:gridCol w:w="2268"/>
        <w:gridCol w:w="2642"/>
      </w:tblGrid>
      <w:tr w:rsidR="00F025BD" w:rsidRPr="009B5507" w:rsidTr="0024365A">
        <w:tc>
          <w:tcPr>
            <w:tcW w:w="4106" w:type="dxa"/>
          </w:tcPr>
          <w:p w:rsidR="00F025BD" w:rsidRPr="009B5507" w:rsidRDefault="00F025BD" w:rsidP="0024365A">
            <w:r w:rsidRPr="009B5507">
              <w:t>Based on July 2016 Test results</w:t>
            </w:r>
          </w:p>
        </w:tc>
        <w:tc>
          <w:tcPr>
            <w:tcW w:w="2268" w:type="dxa"/>
          </w:tcPr>
          <w:p w:rsidR="00F025BD" w:rsidRPr="009B5507" w:rsidRDefault="00F025BD" w:rsidP="0024365A">
            <w:r w:rsidRPr="009B5507">
              <w:t>Pupils eligible for PPG</w:t>
            </w:r>
          </w:p>
          <w:p w:rsidR="00F025BD" w:rsidRPr="009B5507" w:rsidRDefault="00F025BD" w:rsidP="0024365A"/>
        </w:tc>
        <w:tc>
          <w:tcPr>
            <w:tcW w:w="2642" w:type="dxa"/>
          </w:tcPr>
          <w:p w:rsidR="00F025BD" w:rsidRPr="009B5507" w:rsidRDefault="00F025BD" w:rsidP="0024365A">
            <w:r w:rsidRPr="009B5507">
              <w:t>Pupils not eligible for PPG</w:t>
            </w:r>
          </w:p>
          <w:p w:rsidR="00F025BD" w:rsidRPr="009B5507" w:rsidRDefault="00F025BD" w:rsidP="0024365A"/>
        </w:tc>
      </w:tr>
      <w:tr w:rsidR="00F025BD" w:rsidTr="0024365A">
        <w:tc>
          <w:tcPr>
            <w:tcW w:w="4106" w:type="dxa"/>
          </w:tcPr>
          <w:p w:rsidR="00F025BD" w:rsidRPr="009B5507" w:rsidRDefault="00F025BD" w:rsidP="0024365A">
            <w:r w:rsidRPr="009B5507">
              <w:t>% achieving expected standard in Phonics</w:t>
            </w:r>
          </w:p>
        </w:tc>
        <w:tc>
          <w:tcPr>
            <w:tcW w:w="2268" w:type="dxa"/>
          </w:tcPr>
          <w:p w:rsidR="00F025BD" w:rsidRPr="009B5507" w:rsidRDefault="009B5507" w:rsidP="009B5507">
            <w:r w:rsidRPr="009B5507">
              <w:t>75</w:t>
            </w:r>
            <w:r w:rsidR="00F025BD" w:rsidRPr="009B5507">
              <w:t>% (</w:t>
            </w:r>
            <w:r w:rsidRPr="009B5507">
              <w:t>3</w:t>
            </w:r>
            <w:r w:rsidR="00F025BD" w:rsidRPr="009B5507">
              <w:t xml:space="preserve"> out of </w:t>
            </w:r>
            <w:r w:rsidRPr="009B5507">
              <w:t>4</w:t>
            </w:r>
            <w:r w:rsidR="00F025BD" w:rsidRPr="009B5507">
              <w:t xml:space="preserve"> chn)</w:t>
            </w:r>
          </w:p>
        </w:tc>
        <w:tc>
          <w:tcPr>
            <w:tcW w:w="2642" w:type="dxa"/>
          </w:tcPr>
          <w:p w:rsidR="00F025BD" w:rsidRDefault="00F025BD" w:rsidP="009B5507">
            <w:r w:rsidRPr="009B5507">
              <w:t>9</w:t>
            </w:r>
            <w:r w:rsidR="009B5507" w:rsidRPr="009B5507">
              <w:t>6</w:t>
            </w:r>
            <w:r w:rsidRPr="009B5507">
              <w:t>%</w:t>
            </w:r>
          </w:p>
        </w:tc>
      </w:tr>
    </w:tbl>
    <w:p w:rsidR="007742C1" w:rsidRDefault="007742C1">
      <w:pPr>
        <w:rPr>
          <w:sz w:val="28"/>
        </w:rPr>
      </w:pPr>
    </w:p>
    <w:p w:rsidR="00550AC9" w:rsidRDefault="003319CA" w:rsidP="00550AC9">
      <w:pPr>
        <w:rPr>
          <w:b/>
          <w:sz w:val="28"/>
          <w:u w:val="single"/>
        </w:rPr>
      </w:pPr>
      <w:r>
        <w:rPr>
          <w:b/>
          <w:sz w:val="28"/>
          <w:u w:val="single"/>
        </w:rPr>
        <w:t>Pupil Premium Funding 2017</w:t>
      </w:r>
      <w:r w:rsidR="00550AC9" w:rsidRPr="00EF4830">
        <w:rPr>
          <w:b/>
          <w:sz w:val="28"/>
          <w:u w:val="single"/>
        </w:rPr>
        <w:t xml:space="preserve"> </w:t>
      </w:r>
      <w:r w:rsidR="00550AC9">
        <w:rPr>
          <w:b/>
          <w:sz w:val="28"/>
          <w:u w:val="single"/>
        </w:rPr>
        <w:t>–</w:t>
      </w:r>
      <w:r>
        <w:rPr>
          <w:b/>
          <w:sz w:val="28"/>
          <w:u w:val="single"/>
        </w:rPr>
        <w:t xml:space="preserve"> 2018</w:t>
      </w:r>
    </w:p>
    <w:p w:rsidR="00550AC9" w:rsidRPr="00550AC9" w:rsidRDefault="00550AC9" w:rsidP="00550AC9">
      <w:r w:rsidRPr="00550AC9">
        <w:t>In the 2016 to 2017 financial year, schools will receive £1320 for each child registered as eligible for free school meals at any point in the last 6 years and £1900 for each pupil who is “looked after” by the local Authority.  In addition, schools will receive £300 for children of Armed Service Personnel.  The profile of our school shows that 19% of pupils are eligible for Pupil Premium funding in the financial year 2016-2017 and that the school will receive £50,580.</w:t>
      </w:r>
    </w:p>
    <w:tbl>
      <w:tblPr>
        <w:tblStyle w:val="TableGrid"/>
        <w:tblW w:w="0" w:type="auto"/>
        <w:tblLook w:val="04A0" w:firstRow="1" w:lastRow="0" w:firstColumn="1" w:lastColumn="0" w:noHBand="0" w:noVBand="1"/>
      </w:tblPr>
      <w:tblGrid>
        <w:gridCol w:w="4508"/>
        <w:gridCol w:w="4508"/>
      </w:tblGrid>
      <w:tr w:rsidR="00550AC9" w:rsidTr="0024365A">
        <w:tc>
          <w:tcPr>
            <w:tcW w:w="4508" w:type="dxa"/>
            <w:vMerge w:val="restart"/>
          </w:tcPr>
          <w:p w:rsidR="00550AC9" w:rsidRDefault="003319CA" w:rsidP="0024365A">
            <w:pPr>
              <w:rPr>
                <w:sz w:val="28"/>
              </w:rPr>
            </w:pPr>
            <w:r>
              <w:rPr>
                <w:sz w:val="28"/>
              </w:rPr>
              <w:t>Total Allocation £43,6</w:t>
            </w:r>
            <w:r w:rsidR="00550AC9">
              <w:rPr>
                <w:sz w:val="28"/>
              </w:rPr>
              <w:t>80</w:t>
            </w:r>
          </w:p>
        </w:tc>
        <w:tc>
          <w:tcPr>
            <w:tcW w:w="4508" w:type="dxa"/>
          </w:tcPr>
          <w:p w:rsidR="00550AC9" w:rsidRDefault="003319CA" w:rsidP="0024365A">
            <w:pPr>
              <w:rPr>
                <w:sz w:val="28"/>
              </w:rPr>
            </w:pPr>
            <w:r>
              <w:rPr>
                <w:sz w:val="28"/>
              </w:rPr>
              <w:t>24</w:t>
            </w:r>
            <w:r w:rsidR="00550AC9">
              <w:rPr>
                <w:sz w:val="28"/>
              </w:rPr>
              <w:t xml:space="preserve"> Eligible Children @ £1320</w:t>
            </w:r>
          </w:p>
        </w:tc>
      </w:tr>
      <w:tr w:rsidR="00550AC9" w:rsidTr="0024365A">
        <w:tc>
          <w:tcPr>
            <w:tcW w:w="4508" w:type="dxa"/>
            <w:vMerge/>
          </w:tcPr>
          <w:p w:rsidR="00550AC9" w:rsidRDefault="00550AC9" w:rsidP="0024365A">
            <w:pPr>
              <w:rPr>
                <w:sz w:val="28"/>
              </w:rPr>
            </w:pPr>
          </w:p>
        </w:tc>
        <w:tc>
          <w:tcPr>
            <w:tcW w:w="4508" w:type="dxa"/>
          </w:tcPr>
          <w:p w:rsidR="00550AC9" w:rsidRDefault="003319CA" w:rsidP="0024365A">
            <w:pPr>
              <w:rPr>
                <w:sz w:val="28"/>
              </w:rPr>
            </w:pPr>
            <w:r>
              <w:rPr>
                <w:sz w:val="28"/>
              </w:rPr>
              <w:t>2</w:t>
            </w:r>
            <w:r w:rsidR="00550AC9">
              <w:rPr>
                <w:sz w:val="28"/>
              </w:rPr>
              <w:t xml:space="preserve"> Service Children @ £300</w:t>
            </w:r>
          </w:p>
        </w:tc>
      </w:tr>
      <w:tr w:rsidR="00550AC9" w:rsidTr="0024365A">
        <w:tc>
          <w:tcPr>
            <w:tcW w:w="4508" w:type="dxa"/>
            <w:vMerge/>
          </w:tcPr>
          <w:p w:rsidR="00550AC9" w:rsidRDefault="00550AC9" w:rsidP="0024365A">
            <w:pPr>
              <w:rPr>
                <w:sz w:val="28"/>
              </w:rPr>
            </w:pPr>
          </w:p>
        </w:tc>
        <w:tc>
          <w:tcPr>
            <w:tcW w:w="4508" w:type="dxa"/>
          </w:tcPr>
          <w:p w:rsidR="00550AC9" w:rsidRDefault="00550AC9" w:rsidP="0024365A">
            <w:pPr>
              <w:rPr>
                <w:sz w:val="28"/>
              </w:rPr>
            </w:pPr>
            <w:r>
              <w:rPr>
                <w:sz w:val="28"/>
              </w:rPr>
              <w:t>6 LAC @ £1900</w:t>
            </w:r>
          </w:p>
        </w:tc>
      </w:tr>
    </w:tbl>
    <w:p w:rsidR="007742C1" w:rsidRDefault="007742C1">
      <w:pPr>
        <w:rPr>
          <w:sz w:val="28"/>
        </w:rPr>
      </w:pPr>
    </w:p>
    <w:p w:rsidR="00550AC9" w:rsidRDefault="00550AC9">
      <w:pPr>
        <w:rPr>
          <w:sz w:val="28"/>
        </w:rPr>
      </w:pPr>
    </w:p>
    <w:p w:rsidR="007742C1" w:rsidRDefault="007742C1">
      <w:pPr>
        <w:rPr>
          <w:sz w:val="28"/>
        </w:rPr>
      </w:pPr>
    </w:p>
    <w:p w:rsidR="000F515B" w:rsidRDefault="000F515B">
      <w:pPr>
        <w:rPr>
          <w:sz w:val="28"/>
        </w:rPr>
      </w:pPr>
    </w:p>
    <w:p w:rsidR="00620A51" w:rsidRPr="00550AC9" w:rsidRDefault="00620A51">
      <w:pPr>
        <w:rPr>
          <w:b/>
          <w:u w:val="single"/>
        </w:rPr>
      </w:pPr>
      <w:r w:rsidRPr="00550AC9">
        <w:rPr>
          <w:b/>
          <w:u w:val="single"/>
        </w:rPr>
        <w:t>Key Expenditure:</w:t>
      </w:r>
    </w:p>
    <w:tbl>
      <w:tblPr>
        <w:tblStyle w:val="TableGrid"/>
        <w:tblW w:w="0" w:type="auto"/>
        <w:tblLook w:val="04A0" w:firstRow="1" w:lastRow="0" w:firstColumn="1" w:lastColumn="0" w:noHBand="0" w:noVBand="1"/>
      </w:tblPr>
      <w:tblGrid>
        <w:gridCol w:w="3843"/>
        <w:gridCol w:w="3778"/>
        <w:gridCol w:w="1621"/>
      </w:tblGrid>
      <w:tr w:rsidR="00B2162A" w:rsidTr="00B2162A">
        <w:tc>
          <w:tcPr>
            <w:tcW w:w="3843" w:type="dxa"/>
          </w:tcPr>
          <w:p w:rsidR="00B2162A" w:rsidRPr="00550AC9" w:rsidRDefault="00B2162A">
            <w:pPr>
              <w:rPr>
                <w:sz w:val="24"/>
              </w:rPr>
            </w:pPr>
            <w:r w:rsidRPr="00550AC9">
              <w:rPr>
                <w:sz w:val="24"/>
              </w:rPr>
              <w:t>Area</w:t>
            </w:r>
          </w:p>
        </w:tc>
        <w:tc>
          <w:tcPr>
            <w:tcW w:w="3778" w:type="dxa"/>
          </w:tcPr>
          <w:p w:rsidR="00B2162A" w:rsidRPr="00550AC9" w:rsidRDefault="00B2162A">
            <w:pPr>
              <w:rPr>
                <w:sz w:val="24"/>
              </w:rPr>
            </w:pPr>
            <w:r w:rsidRPr="00550AC9">
              <w:rPr>
                <w:sz w:val="24"/>
              </w:rPr>
              <w:t>Intended Impact</w:t>
            </w:r>
          </w:p>
        </w:tc>
        <w:tc>
          <w:tcPr>
            <w:tcW w:w="1621" w:type="dxa"/>
          </w:tcPr>
          <w:p w:rsidR="00B2162A" w:rsidRPr="00550AC9" w:rsidRDefault="00B2162A">
            <w:pPr>
              <w:rPr>
                <w:sz w:val="24"/>
              </w:rPr>
            </w:pPr>
            <w:r w:rsidRPr="00550AC9">
              <w:rPr>
                <w:sz w:val="24"/>
              </w:rPr>
              <w:t>Allocation</w:t>
            </w:r>
          </w:p>
        </w:tc>
      </w:tr>
      <w:tr w:rsidR="00B2162A" w:rsidTr="00B2162A">
        <w:tc>
          <w:tcPr>
            <w:tcW w:w="3843" w:type="dxa"/>
          </w:tcPr>
          <w:p w:rsidR="00B2162A" w:rsidRPr="00550AC9" w:rsidRDefault="00B2162A">
            <w:pPr>
              <w:rPr>
                <w:sz w:val="24"/>
              </w:rPr>
            </w:pPr>
            <w:r w:rsidRPr="00550AC9">
              <w:rPr>
                <w:sz w:val="24"/>
              </w:rPr>
              <w:t>Provision and Intervention</w:t>
            </w:r>
          </w:p>
        </w:tc>
        <w:tc>
          <w:tcPr>
            <w:tcW w:w="3778" w:type="dxa"/>
          </w:tcPr>
          <w:p w:rsidR="00B2162A" w:rsidRPr="00550AC9" w:rsidRDefault="00B2162A">
            <w:pPr>
              <w:rPr>
                <w:sz w:val="24"/>
              </w:rPr>
            </w:pPr>
          </w:p>
        </w:tc>
        <w:tc>
          <w:tcPr>
            <w:tcW w:w="1621" w:type="dxa"/>
          </w:tcPr>
          <w:p w:rsidR="00B2162A" w:rsidRPr="00550AC9" w:rsidRDefault="00B2162A">
            <w:pPr>
              <w:rPr>
                <w:sz w:val="24"/>
              </w:rPr>
            </w:pPr>
          </w:p>
        </w:tc>
      </w:tr>
      <w:tr w:rsidR="00B2162A" w:rsidRPr="00550AC9" w:rsidTr="00B2162A">
        <w:tc>
          <w:tcPr>
            <w:tcW w:w="3843" w:type="dxa"/>
          </w:tcPr>
          <w:p w:rsidR="00B2162A" w:rsidRPr="00550AC9" w:rsidRDefault="00B2162A" w:rsidP="003B1FBB">
            <w:pPr>
              <w:pStyle w:val="ListParagraph"/>
              <w:numPr>
                <w:ilvl w:val="0"/>
                <w:numId w:val="1"/>
              </w:numPr>
              <w:rPr>
                <w:sz w:val="20"/>
              </w:rPr>
            </w:pPr>
            <w:r w:rsidRPr="00550AC9">
              <w:rPr>
                <w:sz w:val="20"/>
              </w:rPr>
              <w:t xml:space="preserve">Emotional Literacy Support Assistant (ELSA) Support </w:t>
            </w:r>
          </w:p>
        </w:tc>
        <w:tc>
          <w:tcPr>
            <w:tcW w:w="3778" w:type="dxa"/>
          </w:tcPr>
          <w:p w:rsidR="00B2162A" w:rsidRPr="00550AC9" w:rsidRDefault="00B2162A">
            <w:pPr>
              <w:rPr>
                <w:sz w:val="20"/>
              </w:rPr>
            </w:pPr>
            <w:r w:rsidRPr="00550AC9">
              <w:rPr>
                <w:sz w:val="20"/>
              </w:rPr>
              <w:t>There will be a reduction in incidents of children eligible for PPG experiencing difficulties coming into school, impacting positively on progress.  Children who are coping with challenging circumstances outside of school are well supported, ensuring that they can focus attention appropriately and maintain good progress.</w:t>
            </w:r>
          </w:p>
        </w:tc>
        <w:tc>
          <w:tcPr>
            <w:tcW w:w="1621" w:type="dxa"/>
          </w:tcPr>
          <w:p w:rsidR="00B2162A" w:rsidRPr="00550AC9" w:rsidRDefault="00D227C3">
            <w:pPr>
              <w:rPr>
                <w:sz w:val="20"/>
              </w:rPr>
            </w:pPr>
            <w:r w:rsidRPr="00550AC9">
              <w:rPr>
                <w:sz w:val="20"/>
              </w:rPr>
              <w:t>12 hours TA time each week</w:t>
            </w:r>
            <w:r w:rsidR="003319CA">
              <w:rPr>
                <w:sz w:val="20"/>
              </w:rPr>
              <w:t xml:space="preserve"> plus training of new TA</w:t>
            </w:r>
          </w:p>
          <w:p w:rsidR="000F515B" w:rsidRPr="00550AC9" w:rsidRDefault="000F515B">
            <w:pPr>
              <w:rPr>
                <w:sz w:val="20"/>
              </w:rPr>
            </w:pPr>
          </w:p>
          <w:p w:rsidR="000F515B" w:rsidRPr="00550AC9" w:rsidRDefault="003319CA">
            <w:pPr>
              <w:rPr>
                <w:sz w:val="20"/>
              </w:rPr>
            </w:pPr>
            <w:r>
              <w:rPr>
                <w:sz w:val="20"/>
              </w:rPr>
              <w:t>£69</w:t>
            </w:r>
            <w:r w:rsidR="000F515B" w:rsidRPr="00550AC9">
              <w:rPr>
                <w:sz w:val="20"/>
              </w:rPr>
              <w:t>00</w:t>
            </w:r>
          </w:p>
          <w:p w:rsidR="007742C1" w:rsidRPr="00550AC9" w:rsidRDefault="007742C1">
            <w:pPr>
              <w:rPr>
                <w:sz w:val="20"/>
              </w:rPr>
            </w:pPr>
          </w:p>
          <w:p w:rsidR="007742C1" w:rsidRPr="00550AC9" w:rsidRDefault="007742C1">
            <w:pPr>
              <w:rPr>
                <w:sz w:val="20"/>
              </w:rPr>
            </w:pPr>
          </w:p>
        </w:tc>
      </w:tr>
      <w:tr w:rsidR="00B2162A" w:rsidRPr="00550AC9" w:rsidTr="00B2162A">
        <w:tc>
          <w:tcPr>
            <w:tcW w:w="3843" w:type="dxa"/>
          </w:tcPr>
          <w:p w:rsidR="00B2162A" w:rsidRPr="00550AC9" w:rsidRDefault="00B2162A" w:rsidP="006E1B2D">
            <w:pPr>
              <w:pStyle w:val="ListParagraph"/>
              <w:numPr>
                <w:ilvl w:val="0"/>
                <w:numId w:val="1"/>
              </w:numPr>
              <w:rPr>
                <w:sz w:val="20"/>
              </w:rPr>
            </w:pPr>
            <w:r w:rsidRPr="00550AC9">
              <w:rPr>
                <w:sz w:val="20"/>
              </w:rPr>
              <w:t>Teacher led interventions – small groups and individual interventions for pupils who are at risk of underachieving delivered by qualified teachers – 2.5 days a week</w:t>
            </w:r>
          </w:p>
        </w:tc>
        <w:tc>
          <w:tcPr>
            <w:tcW w:w="3778" w:type="dxa"/>
          </w:tcPr>
          <w:p w:rsidR="00B2162A" w:rsidRPr="00550AC9" w:rsidRDefault="00B2162A">
            <w:pPr>
              <w:rPr>
                <w:sz w:val="20"/>
              </w:rPr>
            </w:pPr>
            <w:r w:rsidRPr="00550AC9">
              <w:rPr>
                <w:sz w:val="20"/>
              </w:rPr>
              <w:t>The % of children eligible for PPG at or above ARE at the end of year 5 and 6 will improve/increase in Reading, Writing and Maths (all children). The % of all children reaching secure ARE at the end of KS2 will also improve.</w:t>
            </w:r>
          </w:p>
        </w:tc>
        <w:tc>
          <w:tcPr>
            <w:tcW w:w="1621" w:type="dxa"/>
          </w:tcPr>
          <w:p w:rsidR="00B2162A" w:rsidRPr="00550AC9" w:rsidRDefault="009A1DC6">
            <w:pPr>
              <w:rPr>
                <w:sz w:val="20"/>
              </w:rPr>
            </w:pPr>
            <w:r>
              <w:rPr>
                <w:sz w:val="20"/>
              </w:rPr>
              <w:t>£15238</w:t>
            </w:r>
          </w:p>
        </w:tc>
      </w:tr>
      <w:tr w:rsidR="00B2162A" w:rsidRPr="00550AC9" w:rsidTr="00B2162A">
        <w:tc>
          <w:tcPr>
            <w:tcW w:w="3843" w:type="dxa"/>
          </w:tcPr>
          <w:p w:rsidR="00B2162A" w:rsidRPr="00550AC9" w:rsidRDefault="00B2162A" w:rsidP="003319CA">
            <w:pPr>
              <w:pStyle w:val="ListParagraph"/>
              <w:numPr>
                <w:ilvl w:val="0"/>
                <w:numId w:val="1"/>
              </w:numPr>
              <w:rPr>
                <w:sz w:val="20"/>
              </w:rPr>
            </w:pPr>
            <w:r w:rsidRPr="00550AC9">
              <w:rPr>
                <w:sz w:val="20"/>
              </w:rPr>
              <w:t>LSA led interve</w:t>
            </w:r>
            <w:r w:rsidR="003319CA">
              <w:rPr>
                <w:sz w:val="20"/>
              </w:rPr>
              <w:t xml:space="preserve">ntions for handwriting, phonics, spellings </w:t>
            </w:r>
            <w:r w:rsidRPr="00550AC9">
              <w:rPr>
                <w:sz w:val="20"/>
              </w:rPr>
              <w:t xml:space="preserve">and </w:t>
            </w:r>
            <w:r w:rsidR="003319CA">
              <w:rPr>
                <w:sz w:val="20"/>
              </w:rPr>
              <w:t xml:space="preserve">rapid </w:t>
            </w:r>
            <w:r w:rsidR="002E14EE">
              <w:rPr>
                <w:sz w:val="20"/>
              </w:rPr>
              <w:t>Maths</w:t>
            </w:r>
          </w:p>
        </w:tc>
        <w:tc>
          <w:tcPr>
            <w:tcW w:w="3778" w:type="dxa"/>
          </w:tcPr>
          <w:p w:rsidR="00B2162A" w:rsidRPr="00550AC9" w:rsidRDefault="00B2162A">
            <w:pPr>
              <w:rPr>
                <w:sz w:val="20"/>
              </w:rPr>
            </w:pPr>
            <w:r w:rsidRPr="00550AC9">
              <w:rPr>
                <w:sz w:val="20"/>
              </w:rPr>
              <w:t xml:space="preserve">The children on interventions achieve a positive ratio gain and start to close the gap.  The % of PPG children at or above ARE at the end of the year improves over time. </w:t>
            </w:r>
          </w:p>
        </w:tc>
        <w:tc>
          <w:tcPr>
            <w:tcW w:w="1621" w:type="dxa"/>
          </w:tcPr>
          <w:p w:rsidR="00B2162A" w:rsidRPr="00550AC9" w:rsidRDefault="00D227C3">
            <w:pPr>
              <w:rPr>
                <w:sz w:val="20"/>
              </w:rPr>
            </w:pPr>
            <w:r w:rsidRPr="00550AC9">
              <w:rPr>
                <w:sz w:val="20"/>
              </w:rPr>
              <w:t>£</w:t>
            </w:r>
            <w:r w:rsidR="002E14EE">
              <w:rPr>
                <w:sz w:val="20"/>
              </w:rPr>
              <w:t>78</w:t>
            </w:r>
            <w:r w:rsidR="000F515B" w:rsidRPr="00550AC9">
              <w:rPr>
                <w:sz w:val="20"/>
              </w:rPr>
              <w:t>00</w:t>
            </w:r>
          </w:p>
          <w:p w:rsidR="00D227C3" w:rsidRPr="00550AC9" w:rsidRDefault="00D227C3">
            <w:pPr>
              <w:rPr>
                <w:sz w:val="20"/>
              </w:rPr>
            </w:pPr>
          </w:p>
        </w:tc>
      </w:tr>
      <w:tr w:rsidR="00B2162A" w:rsidRPr="00550AC9" w:rsidTr="00B2162A">
        <w:tc>
          <w:tcPr>
            <w:tcW w:w="3843" w:type="dxa"/>
          </w:tcPr>
          <w:p w:rsidR="00B2162A" w:rsidRPr="00550AC9" w:rsidRDefault="00B2162A" w:rsidP="004F5C7D">
            <w:pPr>
              <w:pStyle w:val="ListParagraph"/>
              <w:numPr>
                <w:ilvl w:val="0"/>
                <w:numId w:val="1"/>
              </w:numPr>
              <w:rPr>
                <w:sz w:val="20"/>
              </w:rPr>
            </w:pPr>
            <w:r w:rsidRPr="00550AC9">
              <w:rPr>
                <w:sz w:val="20"/>
              </w:rPr>
              <w:t>LSA led interventions for Speech and language needs</w:t>
            </w:r>
          </w:p>
        </w:tc>
        <w:tc>
          <w:tcPr>
            <w:tcW w:w="3778" w:type="dxa"/>
          </w:tcPr>
          <w:p w:rsidR="00B2162A" w:rsidRPr="00550AC9" w:rsidRDefault="00B2162A">
            <w:pPr>
              <w:rPr>
                <w:sz w:val="20"/>
              </w:rPr>
            </w:pPr>
            <w:r w:rsidRPr="00550AC9">
              <w:rPr>
                <w:sz w:val="20"/>
              </w:rPr>
              <w:t>Children in receipt of PPG who have Speech and Language difficulties make improvements through focussed and regular intervention time. Improvements against S&amp;LT plans.</w:t>
            </w:r>
          </w:p>
          <w:p w:rsidR="007742C1" w:rsidRPr="00550AC9" w:rsidRDefault="007742C1">
            <w:pPr>
              <w:rPr>
                <w:sz w:val="20"/>
              </w:rPr>
            </w:pPr>
          </w:p>
        </w:tc>
        <w:tc>
          <w:tcPr>
            <w:tcW w:w="1621" w:type="dxa"/>
          </w:tcPr>
          <w:p w:rsidR="00B2162A" w:rsidRPr="00550AC9" w:rsidRDefault="00B2162A">
            <w:pPr>
              <w:rPr>
                <w:sz w:val="20"/>
              </w:rPr>
            </w:pPr>
          </w:p>
          <w:p w:rsidR="00D227C3" w:rsidRPr="00550AC9" w:rsidRDefault="00D227C3">
            <w:pPr>
              <w:rPr>
                <w:sz w:val="20"/>
              </w:rPr>
            </w:pPr>
          </w:p>
          <w:p w:rsidR="00D227C3" w:rsidRPr="00550AC9" w:rsidRDefault="00D227C3" w:rsidP="000F515B">
            <w:pPr>
              <w:rPr>
                <w:sz w:val="20"/>
              </w:rPr>
            </w:pPr>
            <w:r w:rsidRPr="00550AC9">
              <w:rPr>
                <w:sz w:val="20"/>
              </w:rPr>
              <w:t xml:space="preserve">£   </w:t>
            </w:r>
            <w:r w:rsidR="009A1DC6">
              <w:rPr>
                <w:sz w:val="20"/>
              </w:rPr>
              <w:t>1400</w:t>
            </w:r>
          </w:p>
        </w:tc>
      </w:tr>
      <w:tr w:rsidR="00B2162A" w:rsidRPr="00550AC9" w:rsidTr="00B2162A">
        <w:tc>
          <w:tcPr>
            <w:tcW w:w="3843" w:type="dxa"/>
          </w:tcPr>
          <w:p w:rsidR="00B2162A" w:rsidRPr="00550AC9" w:rsidRDefault="00B2162A" w:rsidP="009A1DC6">
            <w:pPr>
              <w:pStyle w:val="ListParagraph"/>
              <w:numPr>
                <w:ilvl w:val="0"/>
                <w:numId w:val="1"/>
              </w:numPr>
              <w:rPr>
                <w:sz w:val="20"/>
              </w:rPr>
            </w:pPr>
            <w:r w:rsidRPr="00550AC9">
              <w:rPr>
                <w:sz w:val="20"/>
              </w:rPr>
              <w:t xml:space="preserve">Purchase of intervention materials/ closing the gap materials: including </w:t>
            </w:r>
            <w:r w:rsidR="009A1DC6">
              <w:rPr>
                <w:sz w:val="20"/>
              </w:rPr>
              <w:t>place value cards and Diennes</w:t>
            </w:r>
          </w:p>
        </w:tc>
        <w:tc>
          <w:tcPr>
            <w:tcW w:w="3778" w:type="dxa"/>
          </w:tcPr>
          <w:p w:rsidR="00B2162A" w:rsidRPr="00550AC9" w:rsidRDefault="00B2162A">
            <w:pPr>
              <w:rPr>
                <w:sz w:val="20"/>
              </w:rPr>
            </w:pPr>
            <w:r w:rsidRPr="00550AC9">
              <w:rPr>
                <w:sz w:val="20"/>
              </w:rPr>
              <w:t>Children who demonstrate gaps in knowledge and understanding have a structured assessment tool and programme to help accelerate progress and address misconceptions and difficulties.  As a result the % of disadvantaged children at ARE in maths and reading improves.</w:t>
            </w:r>
          </w:p>
          <w:p w:rsidR="007742C1" w:rsidRPr="00550AC9" w:rsidRDefault="007742C1">
            <w:pPr>
              <w:rPr>
                <w:sz w:val="20"/>
              </w:rPr>
            </w:pPr>
          </w:p>
        </w:tc>
        <w:tc>
          <w:tcPr>
            <w:tcW w:w="1621" w:type="dxa"/>
          </w:tcPr>
          <w:p w:rsidR="00B2162A" w:rsidRPr="00550AC9" w:rsidRDefault="000E00AB" w:rsidP="000E00AB">
            <w:pPr>
              <w:rPr>
                <w:sz w:val="20"/>
              </w:rPr>
            </w:pPr>
            <w:r w:rsidRPr="00550AC9">
              <w:rPr>
                <w:sz w:val="20"/>
              </w:rPr>
              <w:t>£35</w:t>
            </w:r>
            <w:r w:rsidR="000F515B" w:rsidRPr="00550AC9">
              <w:rPr>
                <w:sz w:val="20"/>
              </w:rPr>
              <w:t>00</w:t>
            </w:r>
          </w:p>
        </w:tc>
      </w:tr>
      <w:tr w:rsidR="00B2162A" w:rsidRPr="00550AC9" w:rsidTr="00B2162A">
        <w:tc>
          <w:tcPr>
            <w:tcW w:w="3843" w:type="dxa"/>
          </w:tcPr>
          <w:p w:rsidR="00B2162A" w:rsidRPr="00550AC9" w:rsidRDefault="00B2162A" w:rsidP="000F515B">
            <w:pPr>
              <w:pStyle w:val="ListParagraph"/>
              <w:numPr>
                <w:ilvl w:val="0"/>
                <w:numId w:val="1"/>
              </w:numPr>
              <w:rPr>
                <w:sz w:val="20"/>
              </w:rPr>
            </w:pPr>
            <w:r w:rsidRPr="00550AC9">
              <w:rPr>
                <w:sz w:val="20"/>
              </w:rPr>
              <w:t>Year</w:t>
            </w:r>
            <w:r w:rsidR="000F515B" w:rsidRPr="00550AC9">
              <w:rPr>
                <w:sz w:val="20"/>
              </w:rPr>
              <w:t xml:space="preserve"> 5 and 6 Booster Groups for </w:t>
            </w:r>
            <w:r w:rsidRPr="00550AC9">
              <w:rPr>
                <w:sz w:val="20"/>
              </w:rPr>
              <w:t xml:space="preserve"> Numeracy</w:t>
            </w:r>
            <w:r w:rsidR="000F515B" w:rsidRPr="00550AC9">
              <w:rPr>
                <w:sz w:val="20"/>
              </w:rPr>
              <w:t xml:space="preserve"> Teacher led</w:t>
            </w:r>
          </w:p>
        </w:tc>
        <w:tc>
          <w:tcPr>
            <w:tcW w:w="3778" w:type="dxa"/>
          </w:tcPr>
          <w:p w:rsidR="00B2162A" w:rsidRPr="00550AC9" w:rsidRDefault="00B2162A">
            <w:pPr>
              <w:rPr>
                <w:sz w:val="20"/>
              </w:rPr>
            </w:pPr>
            <w:r w:rsidRPr="00550AC9">
              <w:rPr>
                <w:sz w:val="20"/>
              </w:rPr>
              <w:t>The % of children eligible for PPG at or above ARE at the end of year 5 and 6 will improve/increase in Maths (all children). The % of all children reaching secure ARE at the end of KS2 will also improve.</w:t>
            </w:r>
          </w:p>
          <w:p w:rsidR="007742C1" w:rsidRPr="00550AC9" w:rsidRDefault="007742C1">
            <w:pPr>
              <w:rPr>
                <w:sz w:val="20"/>
              </w:rPr>
            </w:pPr>
          </w:p>
        </w:tc>
        <w:tc>
          <w:tcPr>
            <w:tcW w:w="1621" w:type="dxa"/>
          </w:tcPr>
          <w:p w:rsidR="00B2162A" w:rsidRPr="00550AC9" w:rsidRDefault="009A1DC6">
            <w:pPr>
              <w:rPr>
                <w:sz w:val="20"/>
              </w:rPr>
            </w:pPr>
            <w:r>
              <w:rPr>
                <w:sz w:val="20"/>
              </w:rPr>
              <w:t>£13</w:t>
            </w:r>
            <w:r w:rsidR="000F515B" w:rsidRPr="00550AC9">
              <w:rPr>
                <w:sz w:val="20"/>
              </w:rPr>
              <w:t>00</w:t>
            </w:r>
          </w:p>
        </w:tc>
      </w:tr>
      <w:tr w:rsidR="004837ED" w:rsidRPr="00550AC9" w:rsidTr="00B2162A">
        <w:tc>
          <w:tcPr>
            <w:tcW w:w="3843" w:type="dxa"/>
          </w:tcPr>
          <w:p w:rsidR="000E00AB" w:rsidRPr="00550AC9" w:rsidRDefault="004837ED" w:rsidP="000E00AB">
            <w:pPr>
              <w:pStyle w:val="ListParagraph"/>
              <w:numPr>
                <w:ilvl w:val="0"/>
                <w:numId w:val="1"/>
              </w:numPr>
              <w:rPr>
                <w:sz w:val="20"/>
              </w:rPr>
            </w:pPr>
            <w:r w:rsidRPr="00550AC9">
              <w:rPr>
                <w:sz w:val="20"/>
              </w:rPr>
              <w:t>CGP SATS preparation books for year 5 and 6</w:t>
            </w:r>
            <w:r w:rsidR="000E00AB" w:rsidRPr="00550AC9">
              <w:rPr>
                <w:sz w:val="20"/>
              </w:rPr>
              <w:t xml:space="preserve"> Revision resources for supporting at home with Literacy and Maths</w:t>
            </w:r>
          </w:p>
          <w:p w:rsidR="004837ED" w:rsidRPr="00550AC9" w:rsidRDefault="004837ED" w:rsidP="000E00AB">
            <w:pPr>
              <w:pStyle w:val="ListParagraph"/>
              <w:rPr>
                <w:sz w:val="20"/>
              </w:rPr>
            </w:pPr>
          </w:p>
        </w:tc>
        <w:tc>
          <w:tcPr>
            <w:tcW w:w="3778" w:type="dxa"/>
          </w:tcPr>
          <w:p w:rsidR="004837ED" w:rsidRPr="00550AC9" w:rsidRDefault="004837ED">
            <w:pPr>
              <w:rPr>
                <w:sz w:val="20"/>
              </w:rPr>
            </w:pPr>
            <w:r w:rsidRPr="00550AC9">
              <w:rPr>
                <w:sz w:val="20"/>
              </w:rPr>
              <w:t>All children provided with a practice book for reading, GAPS and maths to ensure they are ready for the SATs tests at end of year 6</w:t>
            </w:r>
            <w:r w:rsidR="000E00AB" w:rsidRPr="00550AC9">
              <w:rPr>
                <w:sz w:val="20"/>
              </w:rPr>
              <w:t xml:space="preserve"> To support the link between learning at home and at school.  Revision materials to prepare children for SATS.</w:t>
            </w:r>
          </w:p>
        </w:tc>
        <w:tc>
          <w:tcPr>
            <w:tcW w:w="1621" w:type="dxa"/>
          </w:tcPr>
          <w:p w:rsidR="004837ED" w:rsidRPr="00550AC9" w:rsidRDefault="009A1DC6">
            <w:pPr>
              <w:rPr>
                <w:sz w:val="20"/>
              </w:rPr>
            </w:pPr>
            <w:r>
              <w:rPr>
                <w:sz w:val="20"/>
              </w:rPr>
              <w:t>£274</w:t>
            </w:r>
          </w:p>
        </w:tc>
      </w:tr>
      <w:tr w:rsidR="004837ED" w:rsidRPr="00550AC9" w:rsidTr="00B2162A">
        <w:tc>
          <w:tcPr>
            <w:tcW w:w="3843" w:type="dxa"/>
          </w:tcPr>
          <w:p w:rsidR="004837ED" w:rsidRPr="00550AC9" w:rsidRDefault="004837ED" w:rsidP="004837ED">
            <w:pPr>
              <w:pStyle w:val="ListParagraph"/>
              <w:numPr>
                <w:ilvl w:val="0"/>
                <w:numId w:val="1"/>
              </w:numPr>
              <w:rPr>
                <w:sz w:val="20"/>
              </w:rPr>
            </w:pPr>
            <w:r w:rsidRPr="00550AC9">
              <w:rPr>
                <w:sz w:val="20"/>
              </w:rPr>
              <w:t>NFER test materials to measure progress against tests for Year 3 4 5 in reading, GAPS, Maths</w:t>
            </w:r>
          </w:p>
        </w:tc>
        <w:tc>
          <w:tcPr>
            <w:tcW w:w="3778" w:type="dxa"/>
          </w:tcPr>
          <w:p w:rsidR="004837ED" w:rsidRPr="00550AC9" w:rsidRDefault="004837ED">
            <w:pPr>
              <w:rPr>
                <w:sz w:val="20"/>
              </w:rPr>
            </w:pPr>
            <w:r w:rsidRPr="00550AC9">
              <w:rPr>
                <w:sz w:val="20"/>
              </w:rPr>
              <w:t>Children become more confident with test experience.  Tests administered in Autumn, Spring and Summer which allows teachers to measure progress against a scaled score</w:t>
            </w:r>
          </w:p>
        </w:tc>
        <w:tc>
          <w:tcPr>
            <w:tcW w:w="1621" w:type="dxa"/>
          </w:tcPr>
          <w:p w:rsidR="004837ED" w:rsidRPr="00550AC9" w:rsidRDefault="004837ED">
            <w:pPr>
              <w:rPr>
                <w:sz w:val="20"/>
              </w:rPr>
            </w:pPr>
            <w:r w:rsidRPr="00550AC9">
              <w:rPr>
                <w:sz w:val="20"/>
              </w:rPr>
              <w:t>£1000</w:t>
            </w:r>
          </w:p>
        </w:tc>
      </w:tr>
      <w:tr w:rsidR="000F515B" w:rsidRPr="00550AC9" w:rsidTr="00B2162A">
        <w:tc>
          <w:tcPr>
            <w:tcW w:w="3843" w:type="dxa"/>
          </w:tcPr>
          <w:p w:rsidR="000F515B" w:rsidRPr="00550AC9" w:rsidRDefault="009A1DC6" w:rsidP="004837ED">
            <w:pPr>
              <w:pStyle w:val="ListParagraph"/>
              <w:numPr>
                <w:ilvl w:val="0"/>
                <w:numId w:val="1"/>
              </w:numPr>
              <w:rPr>
                <w:sz w:val="20"/>
              </w:rPr>
            </w:pPr>
            <w:r>
              <w:rPr>
                <w:sz w:val="20"/>
              </w:rPr>
              <w:t>Times Tables Rockstarts</w:t>
            </w:r>
          </w:p>
        </w:tc>
        <w:tc>
          <w:tcPr>
            <w:tcW w:w="3778" w:type="dxa"/>
          </w:tcPr>
          <w:p w:rsidR="000F515B" w:rsidRPr="00550AC9" w:rsidRDefault="000F515B">
            <w:pPr>
              <w:rPr>
                <w:sz w:val="20"/>
              </w:rPr>
            </w:pPr>
            <w:r w:rsidRPr="00550AC9">
              <w:rPr>
                <w:sz w:val="20"/>
              </w:rPr>
              <w:t xml:space="preserve">Children offered </w:t>
            </w:r>
            <w:r w:rsidR="009A1DC6">
              <w:rPr>
                <w:sz w:val="20"/>
              </w:rPr>
              <w:t xml:space="preserve">way to access maths </w:t>
            </w:r>
            <w:r w:rsidRPr="00550AC9">
              <w:rPr>
                <w:sz w:val="20"/>
              </w:rPr>
              <w:t xml:space="preserve"> support and compete against other children both during school time and out of school hours. Increasing the progress of PP children in SPAG and Maths</w:t>
            </w:r>
          </w:p>
        </w:tc>
        <w:tc>
          <w:tcPr>
            <w:tcW w:w="1621" w:type="dxa"/>
          </w:tcPr>
          <w:p w:rsidR="000F515B" w:rsidRPr="00550AC9" w:rsidRDefault="000F515B" w:rsidP="009A1DC6">
            <w:pPr>
              <w:rPr>
                <w:sz w:val="20"/>
              </w:rPr>
            </w:pPr>
            <w:r w:rsidRPr="00550AC9">
              <w:rPr>
                <w:sz w:val="20"/>
              </w:rPr>
              <w:t>£</w:t>
            </w:r>
            <w:r w:rsidR="00256172" w:rsidRPr="00550AC9">
              <w:rPr>
                <w:sz w:val="20"/>
              </w:rPr>
              <w:t>1</w:t>
            </w:r>
            <w:r w:rsidR="009A1DC6">
              <w:rPr>
                <w:sz w:val="20"/>
              </w:rPr>
              <w:t>118</w:t>
            </w:r>
          </w:p>
        </w:tc>
      </w:tr>
      <w:tr w:rsidR="009A1DC6" w:rsidRPr="00550AC9" w:rsidTr="00B2162A">
        <w:tc>
          <w:tcPr>
            <w:tcW w:w="3843" w:type="dxa"/>
          </w:tcPr>
          <w:p w:rsidR="009A1DC6" w:rsidRPr="009A1DC6" w:rsidRDefault="009A1DC6" w:rsidP="009A1DC6">
            <w:pPr>
              <w:rPr>
                <w:sz w:val="20"/>
              </w:rPr>
            </w:pPr>
          </w:p>
        </w:tc>
        <w:tc>
          <w:tcPr>
            <w:tcW w:w="3778" w:type="dxa"/>
          </w:tcPr>
          <w:p w:rsidR="009A1DC6" w:rsidRPr="00550AC9" w:rsidRDefault="009A1DC6">
            <w:pPr>
              <w:rPr>
                <w:sz w:val="20"/>
              </w:rPr>
            </w:pPr>
          </w:p>
        </w:tc>
        <w:tc>
          <w:tcPr>
            <w:tcW w:w="1621" w:type="dxa"/>
          </w:tcPr>
          <w:p w:rsidR="009A1DC6" w:rsidRPr="00550AC9" w:rsidRDefault="009A1DC6" w:rsidP="009A1DC6">
            <w:pPr>
              <w:rPr>
                <w:sz w:val="20"/>
              </w:rPr>
            </w:pPr>
          </w:p>
        </w:tc>
      </w:tr>
    </w:tbl>
    <w:p w:rsidR="000F515B" w:rsidRPr="00550AC9" w:rsidRDefault="000F515B">
      <w:pPr>
        <w:rPr>
          <w:sz w:val="2"/>
        </w:rPr>
      </w:pPr>
    </w:p>
    <w:tbl>
      <w:tblPr>
        <w:tblStyle w:val="TableGrid"/>
        <w:tblW w:w="0" w:type="auto"/>
        <w:tblLook w:val="04A0" w:firstRow="1" w:lastRow="0" w:firstColumn="1" w:lastColumn="0" w:noHBand="0" w:noVBand="1"/>
      </w:tblPr>
      <w:tblGrid>
        <w:gridCol w:w="3843"/>
        <w:gridCol w:w="3778"/>
        <w:gridCol w:w="2297"/>
      </w:tblGrid>
      <w:tr w:rsidR="00B2162A" w:rsidRPr="00550AC9" w:rsidTr="009A1DC6">
        <w:trPr>
          <w:trHeight w:val="335"/>
        </w:trPr>
        <w:tc>
          <w:tcPr>
            <w:tcW w:w="3843" w:type="dxa"/>
          </w:tcPr>
          <w:p w:rsidR="00B2162A" w:rsidRPr="00550AC9" w:rsidRDefault="00B2162A" w:rsidP="006E1B2D">
            <w:pPr>
              <w:rPr>
                <w:b/>
                <w:sz w:val="20"/>
              </w:rPr>
            </w:pPr>
            <w:r w:rsidRPr="00550AC9">
              <w:rPr>
                <w:b/>
              </w:rPr>
              <w:t>Extra-Curricular</w:t>
            </w:r>
          </w:p>
        </w:tc>
        <w:tc>
          <w:tcPr>
            <w:tcW w:w="3778" w:type="dxa"/>
          </w:tcPr>
          <w:p w:rsidR="00B2162A" w:rsidRPr="00550AC9" w:rsidRDefault="00B2162A" w:rsidP="00701C07">
            <w:pPr>
              <w:rPr>
                <w:sz w:val="20"/>
              </w:rPr>
            </w:pPr>
          </w:p>
        </w:tc>
        <w:tc>
          <w:tcPr>
            <w:tcW w:w="2297" w:type="dxa"/>
          </w:tcPr>
          <w:p w:rsidR="00B2162A" w:rsidRPr="00550AC9" w:rsidRDefault="00B2162A" w:rsidP="00701C07">
            <w:pPr>
              <w:rPr>
                <w:sz w:val="20"/>
              </w:rPr>
            </w:pPr>
          </w:p>
        </w:tc>
      </w:tr>
      <w:tr w:rsidR="00B2162A" w:rsidRPr="00550AC9" w:rsidTr="009A1DC6">
        <w:tc>
          <w:tcPr>
            <w:tcW w:w="3843" w:type="dxa"/>
          </w:tcPr>
          <w:p w:rsidR="00B2162A" w:rsidRPr="00550AC9" w:rsidRDefault="00B2162A" w:rsidP="006E1B2D">
            <w:pPr>
              <w:pStyle w:val="ListParagraph"/>
              <w:numPr>
                <w:ilvl w:val="0"/>
                <w:numId w:val="1"/>
              </w:numPr>
              <w:rPr>
                <w:sz w:val="20"/>
              </w:rPr>
            </w:pPr>
            <w:r w:rsidRPr="00550AC9">
              <w:rPr>
                <w:sz w:val="20"/>
              </w:rPr>
              <w:t>Time 2 talk Relate Counselling ½ day a week</w:t>
            </w:r>
          </w:p>
        </w:tc>
        <w:tc>
          <w:tcPr>
            <w:tcW w:w="3778" w:type="dxa"/>
          </w:tcPr>
          <w:p w:rsidR="00B2162A" w:rsidRPr="00550AC9" w:rsidRDefault="00B2162A">
            <w:pPr>
              <w:rPr>
                <w:sz w:val="20"/>
              </w:rPr>
            </w:pPr>
            <w:r w:rsidRPr="00550AC9">
              <w:rPr>
                <w:sz w:val="20"/>
              </w:rPr>
              <w:t>Children in receipt of PPG have emotional needs met through regular opportunities to speak to a counsellor.  Children with emotionally challenging circumstances are well supported ensuring they can focus attention appropriately and maintain/achieve good progress.</w:t>
            </w:r>
          </w:p>
        </w:tc>
        <w:tc>
          <w:tcPr>
            <w:tcW w:w="2297" w:type="dxa"/>
          </w:tcPr>
          <w:p w:rsidR="00B2162A" w:rsidRPr="00550AC9" w:rsidRDefault="009A1DC6">
            <w:pPr>
              <w:rPr>
                <w:sz w:val="20"/>
              </w:rPr>
            </w:pPr>
            <w:r>
              <w:rPr>
                <w:sz w:val="20"/>
              </w:rPr>
              <w:t>£1200</w:t>
            </w:r>
          </w:p>
        </w:tc>
      </w:tr>
      <w:tr w:rsidR="00B2162A" w:rsidRPr="00550AC9" w:rsidTr="009A1DC6">
        <w:tc>
          <w:tcPr>
            <w:tcW w:w="3843" w:type="dxa"/>
          </w:tcPr>
          <w:p w:rsidR="00B2162A" w:rsidRPr="00550AC9" w:rsidRDefault="00B2162A" w:rsidP="00701C07">
            <w:pPr>
              <w:pStyle w:val="ListParagraph"/>
              <w:numPr>
                <w:ilvl w:val="0"/>
                <w:numId w:val="3"/>
              </w:numPr>
              <w:rPr>
                <w:sz w:val="20"/>
              </w:rPr>
            </w:pPr>
            <w:r w:rsidRPr="00550AC9">
              <w:rPr>
                <w:sz w:val="20"/>
              </w:rPr>
              <w:t>Financial Support for Off-site enrichment activities to ensure pupils can attend School Trips which form an essential part of the curriculum work.</w:t>
            </w:r>
          </w:p>
          <w:p w:rsidR="00B2162A" w:rsidRPr="00550AC9" w:rsidRDefault="00B2162A" w:rsidP="00701C07">
            <w:pPr>
              <w:pStyle w:val="ListParagraph"/>
              <w:rPr>
                <w:sz w:val="20"/>
              </w:rPr>
            </w:pPr>
          </w:p>
          <w:p w:rsidR="00B2162A" w:rsidRPr="00550AC9" w:rsidRDefault="00B2162A">
            <w:pPr>
              <w:rPr>
                <w:sz w:val="20"/>
              </w:rPr>
            </w:pPr>
          </w:p>
        </w:tc>
        <w:tc>
          <w:tcPr>
            <w:tcW w:w="3778" w:type="dxa"/>
          </w:tcPr>
          <w:p w:rsidR="00B2162A" w:rsidRPr="00550AC9" w:rsidRDefault="00B2162A" w:rsidP="007F2C8C">
            <w:pPr>
              <w:rPr>
                <w:sz w:val="20"/>
              </w:rPr>
            </w:pPr>
            <w:r w:rsidRPr="00550AC9">
              <w:rPr>
                <w:sz w:val="20"/>
              </w:rPr>
              <w:t>Improvement in peer relationships; confidence and developing a breadth of experiences.  Children able to participate in Residential and day trips benefitting all children by adding enrichment to the curriculum.</w:t>
            </w:r>
          </w:p>
        </w:tc>
        <w:tc>
          <w:tcPr>
            <w:tcW w:w="2297" w:type="dxa"/>
          </w:tcPr>
          <w:p w:rsidR="00B2162A" w:rsidRPr="00550AC9" w:rsidRDefault="009A1DC6" w:rsidP="000F515B">
            <w:pPr>
              <w:rPr>
                <w:sz w:val="20"/>
              </w:rPr>
            </w:pPr>
            <w:r>
              <w:rPr>
                <w:sz w:val="20"/>
              </w:rPr>
              <w:t>£16</w:t>
            </w:r>
            <w:r w:rsidR="000F515B" w:rsidRPr="00550AC9">
              <w:rPr>
                <w:sz w:val="20"/>
              </w:rPr>
              <w:t>00</w:t>
            </w:r>
          </w:p>
        </w:tc>
      </w:tr>
      <w:tr w:rsidR="00B2162A" w:rsidRPr="00550AC9" w:rsidTr="009A1DC6">
        <w:tc>
          <w:tcPr>
            <w:tcW w:w="3843" w:type="dxa"/>
          </w:tcPr>
          <w:p w:rsidR="00B2162A" w:rsidRPr="00550AC9" w:rsidRDefault="00B2162A" w:rsidP="006E1B2D">
            <w:pPr>
              <w:pStyle w:val="ListParagraph"/>
              <w:numPr>
                <w:ilvl w:val="0"/>
                <w:numId w:val="3"/>
              </w:numPr>
              <w:rPr>
                <w:sz w:val="20"/>
              </w:rPr>
            </w:pPr>
            <w:r w:rsidRPr="00550AC9">
              <w:rPr>
                <w:sz w:val="20"/>
              </w:rPr>
              <w:t>Financial Support for residential (year 5 and 6) so pupils can be included in this enriching event.</w:t>
            </w:r>
          </w:p>
        </w:tc>
        <w:tc>
          <w:tcPr>
            <w:tcW w:w="3778" w:type="dxa"/>
          </w:tcPr>
          <w:p w:rsidR="00B2162A" w:rsidRPr="00550AC9" w:rsidRDefault="00B2162A" w:rsidP="000F515B">
            <w:pPr>
              <w:rPr>
                <w:sz w:val="20"/>
              </w:rPr>
            </w:pPr>
            <w:r w:rsidRPr="00550AC9">
              <w:rPr>
                <w:sz w:val="20"/>
              </w:rPr>
              <w:t>Improvement in peer relationships; confidence and developing a breadth of experiences.  Children able to participate in Residential benefitting all children by adding enrichment to the curriculum.</w:t>
            </w:r>
          </w:p>
        </w:tc>
        <w:tc>
          <w:tcPr>
            <w:tcW w:w="2297" w:type="dxa"/>
          </w:tcPr>
          <w:p w:rsidR="00B2162A" w:rsidRPr="00550AC9" w:rsidRDefault="009A1DC6" w:rsidP="00701C07">
            <w:pPr>
              <w:rPr>
                <w:sz w:val="20"/>
              </w:rPr>
            </w:pPr>
            <w:r>
              <w:rPr>
                <w:sz w:val="20"/>
              </w:rPr>
              <w:t>£700</w:t>
            </w:r>
          </w:p>
        </w:tc>
      </w:tr>
      <w:tr w:rsidR="009A1DC6" w:rsidRPr="00550AC9" w:rsidTr="009A1DC6">
        <w:tc>
          <w:tcPr>
            <w:tcW w:w="3843" w:type="dxa"/>
          </w:tcPr>
          <w:p w:rsidR="009A1DC6" w:rsidRPr="00550AC9" w:rsidRDefault="009A1DC6" w:rsidP="006E1B2D">
            <w:pPr>
              <w:pStyle w:val="ListParagraph"/>
              <w:numPr>
                <w:ilvl w:val="0"/>
                <w:numId w:val="3"/>
              </w:numPr>
              <w:rPr>
                <w:sz w:val="20"/>
              </w:rPr>
            </w:pPr>
            <w:r>
              <w:rPr>
                <w:sz w:val="20"/>
              </w:rPr>
              <w:t>Music lessons</w:t>
            </w:r>
          </w:p>
        </w:tc>
        <w:tc>
          <w:tcPr>
            <w:tcW w:w="3778" w:type="dxa"/>
          </w:tcPr>
          <w:p w:rsidR="009A1DC6" w:rsidRPr="00550AC9" w:rsidRDefault="009A1DC6" w:rsidP="000F515B">
            <w:pPr>
              <w:rPr>
                <w:sz w:val="20"/>
              </w:rPr>
            </w:pPr>
            <w:r>
              <w:rPr>
                <w:sz w:val="20"/>
              </w:rPr>
              <w:t xml:space="preserve">Improvement in resilience and self confidence </w:t>
            </w:r>
          </w:p>
        </w:tc>
        <w:tc>
          <w:tcPr>
            <w:tcW w:w="2297" w:type="dxa"/>
          </w:tcPr>
          <w:p w:rsidR="009A1DC6" w:rsidRDefault="009A1DC6" w:rsidP="00701C07">
            <w:pPr>
              <w:rPr>
                <w:sz w:val="20"/>
              </w:rPr>
            </w:pPr>
            <w:r>
              <w:rPr>
                <w:sz w:val="20"/>
              </w:rPr>
              <w:t>£650</w:t>
            </w:r>
          </w:p>
        </w:tc>
      </w:tr>
      <w:tr w:rsidR="00B2162A" w:rsidRPr="00550AC9" w:rsidTr="009A1DC6">
        <w:tc>
          <w:tcPr>
            <w:tcW w:w="3843" w:type="dxa"/>
          </w:tcPr>
          <w:p w:rsidR="00B2162A" w:rsidRPr="00550AC9" w:rsidRDefault="00B2162A" w:rsidP="006E1B2D">
            <w:pPr>
              <w:pStyle w:val="ListParagraph"/>
              <w:numPr>
                <w:ilvl w:val="0"/>
                <w:numId w:val="3"/>
              </w:numPr>
              <w:rPr>
                <w:sz w:val="20"/>
              </w:rPr>
            </w:pPr>
            <w:r w:rsidRPr="00550AC9">
              <w:rPr>
                <w:sz w:val="20"/>
              </w:rPr>
              <w:t>Support to improve Attendance and building partnership work with parents to improve outcomes for pupils.</w:t>
            </w:r>
          </w:p>
        </w:tc>
        <w:tc>
          <w:tcPr>
            <w:tcW w:w="3778" w:type="dxa"/>
          </w:tcPr>
          <w:p w:rsidR="00B2162A" w:rsidRPr="00550AC9" w:rsidRDefault="00B2162A" w:rsidP="00701C07">
            <w:pPr>
              <w:rPr>
                <w:sz w:val="20"/>
              </w:rPr>
            </w:pPr>
            <w:r w:rsidRPr="00550AC9">
              <w:rPr>
                <w:sz w:val="20"/>
              </w:rPr>
              <w:t>Improvements in attendance for vulnerable children over time.  Attendance rates for all children, but disadvantaged children in particular, are high.  Where there are vulnerabilities resulting in non or low attendance, issues are identified and support is quickly put in place to improve and support children and families</w:t>
            </w:r>
          </w:p>
        </w:tc>
        <w:tc>
          <w:tcPr>
            <w:tcW w:w="2297" w:type="dxa"/>
          </w:tcPr>
          <w:p w:rsidR="00B2162A" w:rsidRPr="00550AC9" w:rsidRDefault="00D227C3" w:rsidP="00701C07">
            <w:pPr>
              <w:rPr>
                <w:sz w:val="20"/>
              </w:rPr>
            </w:pPr>
            <w:r w:rsidRPr="00550AC9">
              <w:rPr>
                <w:sz w:val="20"/>
              </w:rPr>
              <w:t>£1000</w:t>
            </w:r>
          </w:p>
        </w:tc>
      </w:tr>
    </w:tbl>
    <w:p w:rsidR="009A1DC6" w:rsidRDefault="009A1DC6">
      <w:pPr>
        <w:rPr>
          <w:b/>
          <w:sz w:val="24"/>
          <w:u w:val="single"/>
        </w:rPr>
      </w:pPr>
    </w:p>
    <w:p w:rsidR="00F701AD" w:rsidRPr="00F701AD" w:rsidRDefault="00F701AD">
      <w:pPr>
        <w:rPr>
          <w:b/>
          <w:sz w:val="24"/>
          <w:u w:val="single"/>
        </w:rPr>
      </w:pPr>
      <w:r w:rsidRPr="00F701AD">
        <w:rPr>
          <w:b/>
          <w:sz w:val="24"/>
          <w:u w:val="single"/>
        </w:rPr>
        <w:t>How will the impact of Pupil Premium Grant be evaluated at Dilton Marsh CE Primary School?</w:t>
      </w:r>
    </w:p>
    <w:p w:rsidR="00F701AD" w:rsidRPr="00550AC9" w:rsidRDefault="009A1DC6">
      <w:r>
        <w:t>During the academic year 2017/18</w:t>
      </w:r>
      <w:r w:rsidR="00F701AD" w:rsidRPr="00550AC9">
        <w:t>, we will continue to monitor the progress of the pupils who are eligible for the Pupil Premium Grant through analysis of their teacher assessments each half term. We hold termly pupil progress meetings to review support and interventions. This will inform decisions about interventions and future provision.</w:t>
      </w:r>
    </w:p>
    <w:p w:rsidR="00F701AD" w:rsidRPr="00550AC9" w:rsidRDefault="00F701AD">
      <w:r w:rsidRPr="00550AC9">
        <w:t xml:space="preserve">In addition, information from lesson observations, children’s books and pupil and parent feedback will form parts of the evaluation process. </w:t>
      </w:r>
    </w:p>
    <w:p w:rsidR="0001235F" w:rsidRPr="00550AC9" w:rsidRDefault="0001235F">
      <w:pPr>
        <w:rPr>
          <w:b/>
          <w:sz w:val="24"/>
          <w:u w:val="single"/>
        </w:rPr>
      </w:pPr>
      <w:r w:rsidRPr="00550AC9">
        <w:rPr>
          <w:b/>
          <w:sz w:val="24"/>
          <w:u w:val="single"/>
        </w:rPr>
        <w:t>Pupil</w:t>
      </w:r>
      <w:r w:rsidR="009A1DC6">
        <w:rPr>
          <w:b/>
          <w:sz w:val="24"/>
          <w:u w:val="single"/>
        </w:rPr>
        <w:t xml:space="preserve"> Premium Review of spending 2016-2017</w:t>
      </w:r>
    </w:p>
    <w:p w:rsidR="0001235F" w:rsidRPr="00550AC9" w:rsidRDefault="0001235F">
      <w:r w:rsidRPr="00550AC9">
        <w:t xml:space="preserve">Our Pupil Premium money last year was used to provide a range of additional support for our children in order to narrow the gap between pupil groups.  As a result of the interventions and provision implemented last year, our results show that spending was not as effective as it could have been.  Therefore a review has been made and a change in provision has been implemented this academic year with a focus on tracking of pupil progress increased. </w:t>
      </w:r>
    </w:p>
    <w:sectPr w:rsidR="0001235F" w:rsidRPr="00550AC9" w:rsidSect="00550A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8E9"/>
    <w:multiLevelType w:val="hybridMultilevel"/>
    <w:tmpl w:val="4854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359C"/>
    <w:multiLevelType w:val="hybridMultilevel"/>
    <w:tmpl w:val="D50A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D22F5"/>
    <w:multiLevelType w:val="hybridMultilevel"/>
    <w:tmpl w:val="B276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FE61BA"/>
    <w:multiLevelType w:val="hybridMultilevel"/>
    <w:tmpl w:val="E73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B4964"/>
    <w:multiLevelType w:val="hybridMultilevel"/>
    <w:tmpl w:val="8452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30"/>
    <w:rsid w:val="0001235F"/>
    <w:rsid w:val="000A029B"/>
    <w:rsid w:val="000E00AB"/>
    <w:rsid w:val="000F515B"/>
    <w:rsid w:val="00145C11"/>
    <w:rsid w:val="00150E01"/>
    <w:rsid w:val="001D20F6"/>
    <w:rsid w:val="001E4F0D"/>
    <w:rsid w:val="00256172"/>
    <w:rsid w:val="00257503"/>
    <w:rsid w:val="002E14EE"/>
    <w:rsid w:val="003319CA"/>
    <w:rsid w:val="00365131"/>
    <w:rsid w:val="003B1FBB"/>
    <w:rsid w:val="0041500C"/>
    <w:rsid w:val="00421FE9"/>
    <w:rsid w:val="004837ED"/>
    <w:rsid w:val="0049388E"/>
    <w:rsid w:val="004F5C7D"/>
    <w:rsid w:val="00550AC9"/>
    <w:rsid w:val="00620A51"/>
    <w:rsid w:val="00663267"/>
    <w:rsid w:val="006E1B2D"/>
    <w:rsid w:val="00701C07"/>
    <w:rsid w:val="0075482B"/>
    <w:rsid w:val="007742C1"/>
    <w:rsid w:val="00783185"/>
    <w:rsid w:val="00792B60"/>
    <w:rsid w:val="007F2C8C"/>
    <w:rsid w:val="008360D6"/>
    <w:rsid w:val="00877C5E"/>
    <w:rsid w:val="008A38ED"/>
    <w:rsid w:val="008B038B"/>
    <w:rsid w:val="009A1DC6"/>
    <w:rsid w:val="009B5507"/>
    <w:rsid w:val="00A96954"/>
    <w:rsid w:val="00B2162A"/>
    <w:rsid w:val="00B64004"/>
    <w:rsid w:val="00CC33AE"/>
    <w:rsid w:val="00D227C3"/>
    <w:rsid w:val="00D9687E"/>
    <w:rsid w:val="00DC6F76"/>
    <w:rsid w:val="00E27DA5"/>
    <w:rsid w:val="00E556B6"/>
    <w:rsid w:val="00E91356"/>
    <w:rsid w:val="00E9587E"/>
    <w:rsid w:val="00EF4830"/>
    <w:rsid w:val="00F025BD"/>
    <w:rsid w:val="00F7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2009E-27A5-4947-B2BF-B8D9E52E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C11"/>
    <w:pPr>
      <w:ind w:left="720"/>
      <w:contextualSpacing/>
    </w:pPr>
  </w:style>
  <w:style w:type="paragraph" w:styleId="BalloonText">
    <w:name w:val="Balloon Text"/>
    <w:basedOn w:val="Normal"/>
    <w:link w:val="BalloonTextChar"/>
    <w:uiPriority w:val="99"/>
    <w:semiHidden/>
    <w:unhideWhenUsed/>
    <w:rsid w:val="0001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138B-91AE-4355-8964-411F6894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8980</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Farndale</dc:creator>
  <cp:keywords/>
  <dc:description/>
  <cp:lastModifiedBy>Ali Hyde</cp:lastModifiedBy>
  <cp:revision>2</cp:revision>
  <cp:lastPrinted>2018-05-04T08:03:00Z</cp:lastPrinted>
  <dcterms:created xsi:type="dcterms:W3CDTF">2018-05-10T09:25:00Z</dcterms:created>
  <dcterms:modified xsi:type="dcterms:W3CDTF">2018-05-10T09:25:00Z</dcterms:modified>
</cp:coreProperties>
</file>